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5B7" w:rsidRDefault="006B15B7" w:rsidP="004153F4">
      <w:pPr>
        <w:spacing w:after="0"/>
      </w:pPr>
    </w:p>
    <w:tbl>
      <w:tblPr>
        <w:tblStyle w:val="Tabela-Siatka"/>
        <w:tblW w:w="5533" w:type="pct"/>
        <w:tblInd w:w="-885" w:type="dxa"/>
        <w:tblLayout w:type="fixed"/>
        <w:tblLook w:val="04A0"/>
      </w:tblPr>
      <w:tblGrid>
        <w:gridCol w:w="567"/>
        <w:gridCol w:w="1136"/>
        <w:gridCol w:w="6379"/>
        <w:gridCol w:w="7654"/>
      </w:tblGrid>
      <w:tr w:rsidR="00B93D0B" w:rsidRPr="001E7983" w:rsidTr="00283F1F">
        <w:trPr>
          <w:trHeight w:val="269"/>
        </w:trPr>
        <w:tc>
          <w:tcPr>
            <w:tcW w:w="5000" w:type="pct"/>
            <w:gridSpan w:val="4"/>
          </w:tcPr>
          <w:p w:rsidR="00B93D0B" w:rsidRPr="001E7983" w:rsidRDefault="00B93D0B" w:rsidP="00C50A4A">
            <w:pPr>
              <w:jc w:val="center"/>
              <w:rPr>
                <w:b/>
              </w:rPr>
            </w:pPr>
            <w:r>
              <w:rPr>
                <w:b/>
              </w:rPr>
              <w:t>UWAGI DO PROJEKTU KPO – KONSULTACJE do 2.04.2021</w:t>
            </w:r>
          </w:p>
        </w:tc>
      </w:tr>
      <w:tr w:rsidR="00C50A4A" w:rsidRPr="001E7983" w:rsidTr="00C50A4A">
        <w:trPr>
          <w:trHeight w:val="539"/>
        </w:trPr>
        <w:tc>
          <w:tcPr>
            <w:tcW w:w="180" w:type="pct"/>
          </w:tcPr>
          <w:p w:rsidR="00D40888" w:rsidRPr="001E7983" w:rsidRDefault="00D40888" w:rsidP="00262709">
            <w:pPr>
              <w:jc w:val="center"/>
              <w:rPr>
                <w:b/>
              </w:rPr>
            </w:pPr>
            <w:r w:rsidRPr="001E7983">
              <w:rPr>
                <w:b/>
              </w:rPr>
              <w:t>Lp.</w:t>
            </w:r>
          </w:p>
        </w:tc>
        <w:tc>
          <w:tcPr>
            <w:tcW w:w="361" w:type="pct"/>
          </w:tcPr>
          <w:p w:rsidR="00C50A4A" w:rsidRDefault="00D40888" w:rsidP="00262709">
            <w:pPr>
              <w:jc w:val="center"/>
              <w:rPr>
                <w:b/>
              </w:rPr>
            </w:pPr>
            <w:r>
              <w:rPr>
                <w:b/>
              </w:rPr>
              <w:t>Uwaga ogólna</w:t>
            </w:r>
          </w:p>
          <w:p w:rsidR="00B93D0B" w:rsidRDefault="00D40888" w:rsidP="00262709">
            <w:pPr>
              <w:jc w:val="center"/>
              <w:rPr>
                <w:b/>
              </w:rPr>
            </w:pPr>
            <w:r>
              <w:rPr>
                <w:b/>
              </w:rPr>
              <w:t>/s</w:t>
            </w:r>
            <w:r w:rsidRPr="001E7983">
              <w:rPr>
                <w:b/>
              </w:rPr>
              <w:t>tr.</w:t>
            </w:r>
          </w:p>
          <w:p w:rsidR="00D40888" w:rsidRPr="001E7983" w:rsidRDefault="00D40888" w:rsidP="00262709">
            <w:pPr>
              <w:jc w:val="center"/>
              <w:rPr>
                <w:b/>
              </w:rPr>
            </w:pPr>
            <w:r w:rsidRPr="001E7983">
              <w:rPr>
                <w:b/>
              </w:rPr>
              <w:t xml:space="preserve"> </w:t>
            </w:r>
          </w:p>
        </w:tc>
        <w:tc>
          <w:tcPr>
            <w:tcW w:w="2027" w:type="pct"/>
          </w:tcPr>
          <w:p w:rsidR="00D40888" w:rsidRPr="001E7983" w:rsidRDefault="00D40888" w:rsidP="00262709">
            <w:pPr>
              <w:pStyle w:val="Bezodstpw"/>
              <w:jc w:val="center"/>
              <w:rPr>
                <w:b/>
              </w:rPr>
            </w:pPr>
            <w:r w:rsidRPr="001E7983">
              <w:rPr>
                <w:b/>
              </w:rPr>
              <w:t>Treść uwagi</w:t>
            </w:r>
          </w:p>
        </w:tc>
        <w:tc>
          <w:tcPr>
            <w:tcW w:w="2432" w:type="pct"/>
          </w:tcPr>
          <w:p w:rsidR="00D40888" w:rsidRPr="001E7983" w:rsidRDefault="00D40888" w:rsidP="00262709">
            <w:pPr>
              <w:jc w:val="center"/>
              <w:rPr>
                <w:b/>
              </w:rPr>
            </w:pPr>
            <w:r w:rsidRPr="001E7983">
              <w:rPr>
                <w:b/>
              </w:rPr>
              <w:t>Uzasadnienie uwagi</w:t>
            </w:r>
          </w:p>
        </w:tc>
      </w:tr>
      <w:tr w:rsidR="00C50A4A" w:rsidRPr="00D40888" w:rsidTr="00C50A4A">
        <w:trPr>
          <w:trHeight w:val="269"/>
        </w:trPr>
        <w:tc>
          <w:tcPr>
            <w:tcW w:w="180" w:type="pct"/>
          </w:tcPr>
          <w:p w:rsidR="004979F3" w:rsidRDefault="004959B8" w:rsidP="004979F3">
            <w:pPr>
              <w:jc w:val="both"/>
              <w:rPr>
                <w:rFonts w:cstheme="minorHAnsi"/>
                <w:sz w:val="24"/>
                <w:szCs w:val="24"/>
              </w:rPr>
            </w:pPr>
            <w:r>
              <w:rPr>
                <w:rFonts w:cstheme="minorHAnsi"/>
                <w:sz w:val="24"/>
                <w:szCs w:val="24"/>
              </w:rPr>
              <w:t>1</w:t>
            </w:r>
          </w:p>
        </w:tc>
        <w:tc>
          <w:tcPr>
            <w:tcW w:w="361" w:type="pct"/>
          </w:tcPr>
          <w:p w:rsidR="004979F3" w:rsidRPr="00D40888" w:rsidRDefault="004979F3" w:rsidP="004979F3">
            <w:pPr>
              <w:jc w:val="both"/>
              <w:rPr>
                <w:rFonts w:cstheme="minorHAnsi"/>
                <w:sz w:val="24"/>
                <w:szCs w:val="24"/>
              </w:rPr>
            </w:pPr>
            <w:r w:rsidRPr="00D40888">
              <w:rPr>
                <w:rFonts w:cstheme="minorHAnsi"/>
                <w:sz w:val="24"/>
                <w:szCs w:val="24"/>
              </w:rPr>
              <w:t>ogólna</w:t>
            </w:r>
          </w:p>
        </w:tc>
        <w:tc>
          <w:tcPr>
            <w:tcW w:w="2027" w:type="pct"/>
          </w:tcPr>
          <w:p w:rsidR="004979F3" w:rsidRPr="00D40888" w:rsidRDefault="004979F3" w:rsidP="004979F3">
            <w:pPr>
              <w:jc w:val="both"/>
              <w:rPr>
                <w:rFonts w:cstheme="minorHAnsi"/>
                <w:sz w:val="24"/>
                <w:szCs w:val="24"/>
              </w:rPr>
            </w:pPr>
            <w:r w:rsidRPr="00D40888">
              <w:rPr>
                <w:rFonts w:cstheme="minorHAnsi"/>
                <w:sz w:val="24"/>
                <w:szCs w:val="24"/>
              </w:rPr>
              <w:t>Ogólność dokumentu</w:t>
            </w:r>
            <w:r w:rsidR="00ED4713">
              <w:rPr>
                <w:rFonts w:cstheme="minorHAnsi"/>
                <w:sz w:val="24"/>
                <w:szCs w:val="24"/>
              </w:rPr>
              <w:t>, zwłaszcza w aspekcie wdrożeniowym</w:t>
            </w:r>
            <w:r w:rsidRPr="00D40888">
              <w:rPr>
                <w:rFonts w:cstheme="minorHAnsi"/>
                <w:sz w:val="24"/>
                <w:szCs w:val="24"/>
              </w:rPr>
              <w:t xml:space="preserve"> - dokument nie stanowi planu dział</w:t>
            </w:r>
            <w:r w:rsidR="00481606">
              <w:rPr>
                <w:rFonts w:cstheme="minorHAnsi"/>
                <w:sz w:val="24"/>
                <w:szCs w:val="24"/>
              </w:rPr>
              <w:t xml:space="preserve">ań z doprecyzowanymi kluczowymi </w:t>
            </w:r>
            <w:r w:rsidRPr="00D40888">
              <w:rPr>
                <w:rFonts w:cstheme="minorHAnsi"/>
                <w:sz w:val="24"/>
                <w:szCs w:val="24"/>
              </w:rPr>
              <w:t xml:space="preserve">inwestycjami, a raczej jest zarysowanym, nieprzejrzystym, niekonkretnym  programem, w którym brak informacji o kryteriach </w:t>
            </w:r>
            <w:r w:rsidR="0000249C">
              <w:rPr>
                <w:rFonts w:cstheme="minorHAnsi"/>
                <w:sz w:val="24"/>
                <w:szCs w:val="24"/>
              </w:rPr>
              <w:t xml:space="preserve">doboru i </w:t>
            </w:r>
            <w:r w:rsidRPr="00D40888">
              <w:rPr>
                <w:rFonts w:cstheme="minorHAnsi"/>
                <w:sz w:val="24"/>
                <w:szCs w:val="24"/>
              </w:rPr>
              <w:t>wyboru projektów</w:t>
            </w:r>
            <w:r>
              <w:rPr>
                <w:rFonts w:cstheme="minorHAnsi"/>
                <w:sz w:val="24"/>
                <w:szCs w:val="24"/>
              </w:rPr>
              <w:t>.</w:t>
            </w:r>
          </w:p>
          <w:p w:rsidR="004979F3" w:rsidRPr="00D40888" w:rsidRDefault="004979F3" w:rsidP="004979F3">
            <w:pPr>
              <w:jc w:val="both"/>
              <w:rPr>
                <w:rFonts w:cstheme="minorHAnsi"/>
                <w:sz w:val="24"/>
                <w:szCs w:val="24"/>
              </w:rPr>
            </w:pPr>
          </w:p>
          <w:p w:rsidR="004979F3" w:rsidRPr="00D40888" w:rsidRDefault="004979F3" w:rsidP="004979F3">
            <w:pPr>
              <w:jc w:val="both"/>
              <w:rPr>
                <w:rFonts w:cstheme="minorHAnsi"/>
                <w:sz w:val="24"/>
                <w:szCs w:val="24"/>
              </w:rPr>
            </w:pPr>
          </w:p>
        </w:tc>
        <w:tc>
          <w:tcPr>
            <w:tcW w:w="2432" w:type="pct"/>
          </w:tcPr>
          <w:p w:rsidR="004979F3" w:rsidRPr="00D40888" w:rsidRDefault="004979F3" w:rsidP="004979F3">
            <w:pPr>
              <w:jc w:val="both"/>
              <w:rPr>
                <w:rFonts w:cstheme="minorHAnsi"/>
                <w:sz w:val="24"/>
                <w:szCs w:val="24"/>
              </w:rPr>
            </w:pPr>
            <w:r w:rsidRPr="00D40888">
              <w:rPr>
                <w:rFonts w:cstheme="minorHAnsi"/>
                <w:sz w:val="24"/>
                <w:szCs w:val="24"/>
              </w:rPr>
              <w:t>Brakuje szczegółowych zapisów</w:t>
            </w:r>
            <w:r w:rsidR="006B6F6E">
              <w:rPr>
                <w:rFonts w:cstheme="minorHAnsi"/>
                <w:sz w:val="24"/>
                <w:szCs w:val="24"/>
              </w:rPr>
              <w:t xml:space="preserve"> </w:t>
            </w:r>
            <w:r w:rsidRPr="00D40888">
              <w:rPr>
                <w:rFonts w:cstheme="minorHAnsi"/>
                <w:sz w:val="24"/>
                <w:szCs w:val="24"/>
              </w:rPr>
              <w:t>– są jedynie zapowiedzi tworzenia funduszy, powoływania operatorów, procedury konkursowej, pozakonkursowej, wskazane są ogólnie obszary wsparcia. Faktycznie, brak jest danych umożliwiających zaopiniowanie KPO pod kątem planowanych do wsparcia inwestycji</w:t>
            </w:r>
            <w:r w:rsidR="006B6F6E">
              <w:rPr>
                <w:rFonts w:cstheme="minorHAnsi"/>
                <w:sz w:val="24"/>
                <w:szCs w:val="24"/>
              </w:rPr>
              <w:t>, efektywności planu</w:t>
            </w:r>
            <w:r w:rsidRPr="00D40888">
              <w:rPr>
                <w:rFonts w:cstheme="minorHAnsi"/>
                <w:sz w:val="24"/>
                <w:szCs w:val="24"/>
              </w:rPr>
              <w:t>. Nie ujawnia się nawet projektów indywidualnych/predefiniowanych. Niedookreślenie projektów i kryteriów ich wyboru</w:t>
            </w:r>
            <w:r w:rsidR="00481606">
              <w:rPr>
                <w:rFonts w:cstheme="minorHAnsi"/>
                <w:sz w:val="24"/>
                <w:szCs w:val="24"/>
              </w:rPr>
              <w:t>,</w:t>
            </w:r>
            <w:r w:rsidRPr="00D40888">
              <w:rPr>
                <w:rFonts w:cstheme="minorHAnsi"/>
                <w:sz w:val="24"/>
                <w:szCs w:val="24"/>
              </w:rPr>
              <w:t xml:space="preserve"> mimo przeprowadzenia szeroko zakrojonej akcji zbierania propozycji przedsięwzięć do KPO, sprawia wrażenie celowego zabiegu i mocno podważa  rzetelność przygotowania KPO i jego transparentność. </w:t>
            </w:r>
          </w:p>
          <w:p w:rsidR="004979F3" w:rsidRPr="00D40888" w:rsidRDefault="004979F3" w:rsidP="004979F3">
            <w:pPr>
              <w:jc w:val="both"/>
              <w:rPr>
                <w:rFonts w:cstheme="minorHAnsi"/>
                <w:sz w:val="24"/>
                <w:szCs w:val="24"/>
              </w:rPr>
            </w:pPr>
          </w:p>
        </w:tc>
      </w:tr>
      <w:tr w:rsidR="00C50A4A" w:rsidRPr="00D40888" w:rsidTr="00C50A4A">
        <w:trPr>
          <w:trHeight w:val="269"/>
        </w:trPr>
        <w:tc>
          <w:tcPr>
            <w:tcW w:w="180" w:type="pct"/>
          </w:tcPr>
          <w:p w:rsidR="00481606" w:rsidRDefault="004959B8" w:rsidP="004979F3">
            <w:pPr>
              <w:jc w:val="both"/>
              <w:rPr>
                <w:rFonts w:cstheme="minorHAnsi"/>
                <w:sz w:val="24"/>
                <w:szCs w:val="24"/>
              </w:rPr>
            </w:pPr>
            <w:r>
              <w:rPr>
                <w:rFonts w:cstheme="minorHAnsi"/>
                <w:sz w:val="24"/>
                <w:szCs w:val="24"/>
              </w:rPr>
              <w:t>2</w:t>
            </w:r>
          </w:p>
        </w:tc>
        <w:tc>
          <w:tcPr>
            <w:tcW w:w="361" w:type="pct"/>
          </w:tcPr>
          <w:p w:rsidR="00481606" w:rsidRPr="00D40888" w:rsidRDefault="003962B4" w:rsidP="004979F3">
            <w:pPr>
              <w:jc w:val="both"/>
              <w:rPr>
                <w:rFonts w:cstheme="minorHAnsi"/>
                <w:sz w:val="24"/>
                <w:szCs w:val="24"/>
              </w:rPr>
            </w:pPr>
            <w:r w:rsidRPr="00D40888">
              <w:rPr>
                <w:rFonts w:cstheme="minorHAnsi"/>
                <w:sz w:val="24"/>
                <w:szCs w:val="24"/>
              </w:rPr>
              <w:t>ogólna</w:t>
            </w:r>
          </w:p>
        </w:tc>
        <w:tc>
          <w:tcPr>
            <w:tcW w:w="2027" w:type="pct"/>
          </w:tcPr>
          <w:p w:rsidR="00481606" w:rsidRDefault="00686BCB" w:rsidP="004979F3">
            <w:pPr>
              <w:jc w:val="both"/>
              <w:rPr>
                <w:rFonts w:cstheme="minorHAnsi"/>
                <w:sz w:val="24"/>
                <w:szCs w:val="24"/>
              </w:rPr>
            </w:pPr>
            <w:r>
              <w:rPr>
                <w:rFonts w:cstheme="minorHAnsi"/>
                <w:sz w:val="24"/>
                <w:szCs w:val="24"/>
              </w:rPr>
              <w:t xml:space="preserve">Niepewność, </w:t>
            </w:r>
            <w:r w:rsidR="00481606">
              <w:rPr>
                <w:rFonts w:cstheme="minorHAnsi"/>
                <w:sz w:val="24"/>
                <w:szCs w:val="24"/>
              </w:rPr>
              <w:t>niewiarygodność</w:t>
            </w:r>
            <w:r>
              <w:rPr>
                <w:rFonts w:cstheme="minorHAnsi"/>
                <w:sz w:val="24"/>
                <w:szCs w:val="24"/>
              </w:rPr>
              <w:t>, nikłość informacji</w:t>
            </w:r>
            <w:r w:rsidR="00481606">
              <w:rPr>
                <w:rFonts w:cstheme="minorHAnsi"/>
                <w:sz w:val="24"/>
                <w:szCs w:val="24"/>
              </w:rPr>
              <w:t xml:space="preserve"> w odniesieniu do części dot. reform – zapisy mówią tylko o zamiarze ich przeprowadzenia, bez konkretnych informacji, na czym będą polegały.</w:t>
            </w:r>
          </w:p>
          <w:p w:rsidR="00481606" w:rsidRPr="00D40888" w:rsidRDefault="00481606" w:rsidP="004979F3">
            <w:pPr>
              <w:jc w:val="both"/>
              <w:rPr>
                <w:rFonts w:cstheme="minorHAnsi"/>
                <w:sz w:val="24"/>
                <w:szCs w:val="24"/>
              </w:rPr>
            </w:pPr>
          </w:p>
        </w:tc>
        <w:tc>
          <w:tcPr>
            <w:tcW w:w="2432" w:type="pct"/>
          </w:tcPr>
          <w:p w:rsidR="00481606" w:rsidRDefault="00481606" w:rsidP="00481606">
            <w:pPr>
              <w:jc w:val="both"/>
              <w:rPr>
                <w:rFonts w:cstheme="minorHAnsi"/>
                <w:sz w:val="24"/>
                <w:szCs w:val="24"/>
              </w:rPr>
            </w:pPr>
            <w:r>
              <w:rPr>
                <w:rFonts w:cstheme="minorHAnsi"/>
                <w:sz w:val="24"/>
                <w:szCs w:val="24"/>
              </w:rPr>
              <w:t xml:space="preserve">Jest tylko hasłowa zapowiedź reform, brakuje informacji o ich istocie, a dotyczą </w:t>
            </w:r>
            <w:r w:rsidR="00750271">
              <w:rPr>
                <w:rFonts w:cstheme="minorHAnsi"/>
                <w:sz w:val="24"/>
                <w:szCs w:val="24"/>
              </w:rPr>
              <w:t xml:space="preserve">bardzo </w:t>
            </w:r>
            <w:r>
              <w:rPr>
                <w:rFonts w:cstheme="minorHAnsi"/>
                <w:sz w:val="24"/>
                <w:szCs w:val="24"/>
              </w:rPr>
              <w:t xml:space="preserve">ważnych obszarów funkcjonowania </w:t>
            </w:r>
            <w:r w:rsidR="00750271">
              <w:rPr>
                <w:rFonts w:cstheme="minorHAnsi"/>
                <w:sz w:val="24"/>
                <w:szCs w:val="24"/>
              </w:rPr>
              <w:t xml:space="preserve">gospodarki i społeczeństwa - </w:t>
            </w:r>
            <w:r>
              <w:rPr>
                <w:rFonts w:cstheme="minorHAnsi"/>
                <w:sz w:val="24"/>
                <w:szCs w:val="24"/>
              </w:rPr>
              <w:t xml:space="preserve">np. planowanie przestrzenne, podatki, </w:t>
            </w:r>
            <w:r w:rsidR="00686BCB">
              <w:rPr>
                <w:rFonts w:cstheme="minorHAnsi"/>
                <w:sz w:val="24"/>
                <w:szCs w:val="24"/>
              </w:rPr>
              <w:t xml:space="preserve">reforma rynku pracy, </w:t>
            </w:r>
            <w:r>
              <w:rPr>
                <w:rFonts w:cstheme="minorHAnsi"/>
                <w:sz w:val="24"/>
                <w:szCs w:val="24"/>
              </w:rPr>
              <w:t>system organizacji służby zdrowia.</w:t>
            </w:r>
          </w:p>
          <w:p w:rsidR="00481606" w:rsidRPr="00D40888" w:rsidRDefault="00481606" w:rsidP="00481606">
            <w:pPr>
              <w:jc w:val="both"/>
              <w:rPr>
                <w:rFonts w:cstheme="minorHAnsi"/>
                <w:sz w:val="24"/>
                <w:szCs w:val="24"/>
              </w:rPr>
            </w:pPr>
          </w:p>
        </w:tc>
      </w:tr>
      <w:tr w:rsidR="00C50A4A" w:rsidRPr="00D40888" w:rsidTr="00C50A4A">
        <w:trPr>
          <w:trHeight w:val="269"/>
        </w:trPr>
        <w:tc>
          <w:tcPr>
            <w:tcW w:w="180" w:type="pct"/>
          </w:tcPr>
          <w:p w:rsidR="00481606" w:rsidRDefault="004959B8" w:rsidP="00481606">
            <w:pPr>
              <w:jc w:val="both"/>
              <w:rPr>
                <w:rFonts w:cstheme="minorHAnsi"/>
                <w:sz w:val="24"/>
                <w:szCs w:val="24"/>
              </w:rPr>
            </w:pPr>
            <w:r>
              <w:rPr>
                <w:rFonts w:cstheme="minorHAnsi"/>
                <w:sz w:val="24"/>
                <w:szCs w:val="24"/>
              </w:rPr>
              <w:t>3</w:t>
            </w:r>
          </w:p>
        </w:tc>
        <w:tc>
          <w:tcPr>
            <w:tcW w:w="361" w:type="pct"/>
          </w:tcPr>
          <w:p w:rsidR="00481606" w:rsidRPr="00D40888" w:rsidRDefault="003962B4" w:rsidP="00481606">
            <w:pPr>
              <w:jc w:val="both"/>
              <w:rPr>
                <w:rFonts w:cstheme="minorHAnsi"/>
                <w:sz w:val="24"/>
                <w:szCs w:val="24"/>
              </w:rPr>
            </w:pPr>
            <w:r w:rsidRPr="00D40888">
              <w:rPr>
                <w:rFonts w:cstheme="minorHAnsi"/>
                <w:sz w:val="24"/>
                <w:szCs w:val="24"/>
              </w:rPr>
              <w:t>ogólna</w:t>
            </w:r>
          </w:p>
        </w:tc>
        <w:tc>
          <w:tcPr>
            <w:tcW w:w="2027" w:type="pct"/>
          </w:tcPr>
          <w:p w:rsidR="00481606" w:rsidRPr="00D40888" w:rsidRDefault="00481606" w:rsidP="00481606">
            <w:pPr>
              <w:jc w:val="both"/>
              <w:rPr>
                <w:rFonts w:cstheme="minorHAnsi"/>
                <w:sz w:val="24"/>
                <w:szCs w:val="24"/>
              </w:rPr>
            </w:pPr>
            <w:r w:rsidRPr="00D40888">
              <w:rPr>
                <w:rFonts w:cstheme="minorHAnsi"/>
                <w:sz w:val="24"/>
                <w:szCs w:val="24"/>
              </w:rPr>
              <w:t>Nieprzejrzyście opisany, budzący pytania system finansowania - tzw. kamienie milowe</w:t>
            </w:r>
            <w:r>
              <w:rPr>
                <w:rFonts w:cstheme="minorHAnsi"/>
                <w:sz w:val="24"/>
                <w:szCs w:val="24"/>
              </w:rPr>
              <w:t>.</w:t>
            </w:r>
            <w:r w:rsidR="00686BCB">
              <w:rPr>
                <w:rFonts w:cstheme="minorHAnsi"/>
                <w:sz w:val="24"/>
                <w:szCs w:val="24"/>
              </w:rPr>
              <w:t xml:space="preserve"> Brak informacji o części „pożyczkowej” KPO.</w:t>
            </w:r>
          </w:p>
        </w:tc>
        <w:tc>
          <w:tcPr>
            <w:tcW w:w="2432" w:type="pct"/>
          </w:tcPr>
          <w:p w:rsidR="00481606" w:rsidRPr="00D40888" w:rsidRDefault="00481606" w:rsidP="00481606">
            <w:pPr>
              <w:jc w:val="both"/>
              <w:rPr>
                <w:rFonts w:cstheme="minorHAnsi"/>
                <w:sz w:val="24"/>
                <w:szCs w:val="24"/>
              </w:rPr>
            </w:pPr>
            <w:r w:rsidRPr="00D40888">
              <w:rPr>
                <w:rFonts w:cstheme="minorHAnsi"/>
                <w:sz w:val="24"/>
                <w:szCs w:val="24"/>
              </w:rPr>
              <w:t>Znaczna część wskaźników, szczególnie tych głównych, twardych jest założona do osiągnięcia w 2026 r. KPO ma być rozliczany inac</w:t>
            </w:r>
            <w:r w:rsidR="00276A12">
              <w:rPr>
                <w:rFonts w:cstheme="minorHAnsi"/>
                <w:sz w:val="24"/>
                <w:szCs w:val="24"/>
              </w:rPr>
              <w:t xml:space="preserve">zej niż fundusze </w:t>
            </w:r>
            <w:proofErr w:type="spellStart"/>
            <w:r w:rsidR="00276A12">
              <w:rPr>
                <w:rFonts w:cstheme="minorHAnsi"/>
                <w:sz w:val="24"/>
                <w:szCs w:val="24"/>
              </w:rPr>
              <w:t>spójnościowe</w:t>
            </w:r>
            <w:proofErr w:type="spellEnd"/>
            <w:r w:rsidR="00276A12">
              <w:rPr>
                <w:rFonts w:cstheme="minorHAnsi"/>
                <w:sz w:val="24"/>
                <w:szCs w:val="24"/>
              </w:rPr>
              <w:t>, nie</w:t>
            </w:r>
            <w:r>
              <w:rPr>
                <w:rFonts w:cstheme="minorHAnsi"/>
                <w:sz w:val="24"/>
                <w:szCs w:val="24"/>
              </w:rPr>
              <w:t xml:space="preserve"> </w:t>
            </w:r>
            <w:r w:rsidR="00276A12">
              <w:rPr>
                <w:rFonts w:cstheme="minorHAnsi"/>
                <w:sz w:val="24"/>
                <w:szCs w:val="24"/>
              </w:rPr>
              <w:t>na podstawie faktur</w:t>
            </w:r>
            <w:r w:rsidRPr="00D40888">
              <w:rPr>
                <w:rFonts w:cstheme="minorHAnsi"/>
                <w:sz w:val="24"/>
                <w:szCs w:val="24"/>
              </w:rPr>
              <w:t>, a na podstawie osiągania założonych kamieni milowych powiązanych z osiągniętymi efektami. Brak</w:t>
            </w:r>
            <w:r w:rsidR="00276A12">
              <w:rPr>
                <w:rFonts w:cstheme="minorHAnsi"/>
                <w:sz w:val="24"/>
                <w:szCs w:val="24"/>
              </w:rPr>
              <w:t>uje</w:t>
            </w:r>
            <w:r w:rsidRPr="00D40888">
              <w:rPr>
                <w:rFonts w:cstheme="minorHAnsi"/>
                <w:sz w:val="24"/>
                <w:szCs w:val="24"/>
              </w:rPr>
              <w:t xml:space="preserve"> bliższych wyjaśnie</w:t>
            </w:r>
            <w:r>
              <w:rPr>
                <w:rFonts w:cstheme="minorHAnsi"/>
                <w:sz w:val="24"/>
                <w:szCs w:val="24"/>
              </w:rPr>
              <w:t>ń dot. dostępności finansowania na etapie realizacji (</w:t>
            </w:r>
            <w:r w:rsidR="00276A12">
              <w:rPr>
                <w:rFonts w:cstheme="minorHAnsi"/>
                <w:sz w:val="24"/>
                <w:szCs w:val="24"/>
              </w:rPr>
              <w:t>mechanizm refundacji dopiero po uzyskaniu efektów?).</w:t>
            </w:r>
            <w:r>
              <w:rPr>
                <w:rFonts w:cstheme="minorHAnsi"/>
                <w:sz w:val="24"/>
                <w:szCs w:val="24"/>
              </w:rPr>
              <w:t xml:space="preserve"> </w:t>
            </w:r>
          </w:p>
          <w:p w:rsidR="00481606" w:rsidRPr="00D40888" w:rsidRDefault="00481606" w:rsidP="00481606">
            <w:pPr>
              <w:jc w:val="both"/>
              <w:rPr>
                <w:rFonts w:cstheme="minorHAnsi"/>
                <w:sz w:val="24"/>
                <w:szCs w:val="24"/>
              </w:rPr>
            </w:pPr>
          </w:p>
        </w:tc>
      </w:tr>
      <w:tr w:rsidR="00C50A4A" w:rsidRPr="00D40888" w:rsidTr="00C50A4A">
        <w:trPr>
          <w:trHeight w:val="269"/>
        </w:trPr>
        <w:tc>
          <w:tcPr>
            <w:tcW w:w="180" w:type="pct"/>
          </w:tcPr>
          <w:p w:rsidR="009C7D5A" w:rsidRDefault="004959B8" w:rsidP="00481606">
            <w:pPr>
              <w:jc w:val="both"/>
              <w:rPr>
                <w:rFonts w:cstheme="minorHAnsi"/>
                <w:sz w:val="24"/>
                <w:szCs w:val="24"/>
              </w:rPr>
            </w:pPr>
            <w:r>
              <w:rPr>
                <w:rFonts w:cstheme="minorHAnsi"/>
                <w:sz w:val="24"/>
                <w:szCs w:val="24"/>
              </w:rPr>
              <w:t>4</w:t>
            </w:r>
          </w:p>
        </w:tc>
        <w:tc>
          <w:tcPr>
            <w:tcW w:w="361" w:type="pct"/>
          </w:tcPr>
          <w:p w:rsidR="009C7D5A" w:rsidRPr="00D40888" w:rsidRDefault="003962B4" w:rsidP="00481606">
            <w:pPr>
              <w:jc w:val="both"/>
              <w:rPr>
                <w:rFonts w:cstheme="minorHAnsi"/>
                <w:sz w:val="24"/>
                <w:szCs w:val="24"/>
              </w:rPr>
            </w:pPr>
            <w:r w:rsidRPr="00D40888">
              <w:rPr>
                <w:rFonts w:cstheme="minorHAnsi"/>
                <w:sz w:val="24"/>
                <w:szCs w:val="24"/>
              </w:rPr>
              <w:t>ogólna</w:t>
            </w:r>
          </w:p>
        </w:tc>
        <w:tc>
          <w:tcPr>
            <w:tcW w:w="2027" w:type="pct"/>
          </w:tcPr>
          <w:p w:rsidR="00686BCB" w:rsidRDefault="00686BCB" w:rsidP="00686BCB">
            <w:pPr>
              <w:jc w:val="both"/>
              <w:rPr>
                <w:rFonts w:cstheme="minorHAnsi"/>
                <w:sz w:val="24"/>
                <w:szCs w:val="24"/>
              </w:rPr>
            </w:pPr>
            <w:r>
              <w:rPr>
                <w:rFonts w:cstheme="minorHAnsi"/>
                <w:sz w:val="24"/>
                <w:szCs w:val="24"/>
              </w:rPr>
              <w:t>Nieuzasadnione, niewyjaśnione rozłożenie kwot wsparcia na poszczególne obszary</w:t>
            </w:r>
            <w:r w:rsidR="00C27A1E">
              <w:rPr>
                <w:rFonts w:cstheme="minorHAnsi"/>
                <w:sz w:val="24"/>
                <w:szCs w:val="24"/>
              </w:rPr>
              <w:t xml:space="preserve">. </w:t>
            </w:r>
            <w:r w:rsidR="00AA6C17">
              <w:rPr>
                <w:rFonts w:cstheme="minorHAnsi"/>
                <w:sz w:val="24"/>
                <w:szCs w:val="24"/>
              </w:rPr>
              <w:t>B</w:t>
            </w:r>
            <w:r w:rsidR="00EA633A">
              <w:rPr>
                <w:rFonts w:cstheme="minorHAnsi"/>
                <w:sz w:val="24"/>
                <w:szCs w:val="24"/>
              </w:rPr>
              <w:t>rak możliwości oceny efektywności</w:t>
            </w:r>
            <w:r w:rsidR="00AA6C17">
              <w:rPr>
                <w:rFonts w:cstheme="minorHAnsi"/>
                <w:sz w:val="24"/>
                <w:szCs w:val="24"/>
              </w:rPr>
              <w:t xml:space="preserve"> KPO.</w:t>
            </w:r>
          </w:p>
          <w:p w:rsidR="009C7D5A" w:rsidRDefault="009C7D5A" w:rsidP="00481606">
            <w:pPr>
              <w:jc w:val="both"/>
              <w:rPr>
                <w:rFonts w:cstheme="minorHAnsi"/>
                <w:sz w:val="24"/>
                <w:szCs w:val="24"/>
              </w:rPr>
            </w:pPr>
          </w:p>
        </w:tc>
        <w:tc>
          <w:tcPr>
            <w:tcW w:w="2432" w:type="pct"/>
          </w:tcPr>
          <w:p w:rsidR="009C7D5A" w:rsidRPr="00D40888" w:rsidRDefault="00686BCB" w:rsidP="00AA6C17">
            <w:pPr>
              <w:jc w:val="both"/>
              <w:rPr>
                <w:rFonts w:cstheme="minorHAnsi"/>
                <w:sz w:val="24"/>
                <w:szCs w:val="24"/>
              </w:rPr>
            </w:pPr>
            <w:r>
              <w:rPr>
                <w:rFonts w:cstheme="minorHAnsi"/>
                <w:sz w:val="24"/>
                <w:szCs w:val="24"/>
              </w:rPr>
              <w:t xml:space="preserve">Brak </w:t>
            </w:r>
            <w:r w:rsidR="00AA6C17">
              <w:rPr>
                <w:rFonts w:cstheme="minorHAnsi"/>
                <w:sz w:val="24"/>
                <w:szCs w:val="24"/>
              </w:rPr>
              <w:t xml:space="preserve">informacji i </w:t>
            </w:r>
            <w:r>
              <w:rPr>
                <w:rFonts w:cstheme="minorHAnsi"/>
                <w:sz w:val="24"/>
                <w:szCs w:val="24"/>
              </w:rPr>
              <w:t xml:space="preserve">uzasadnień </w:t>
            </w:r>
            <w:r w:rsidR="00AA6C17">
              <w:rPr>
                <w:rFonts w:cstheme="minorHAnsi"/>
                <w:sz w:val="24"/>
                <w:szCs w:val="24"/>
              </w:rPr>
              <w:t>dot.</w:t>
            </w:r>
            <w:r>
              <w:rPr>
                <w:rFonts w:cstheme="minorHAnsi"/>
                <w:sz w:val="24"/>
                <w:szCs w:val="24"/>
              </w:rPr>
              <w:t xml:space="preserve"> podziału środków </w:t>
            </w:r>
            <w:r w:rsidR="00AA6C17">
              <w:rPr>
                <w:rFonts w:cstheme="minorHAnsi"/>
                <w:sz w:val="24"/>
                <w:szCs w:val="24"/>
              </w:rPr>
              <w:t>oraz</w:t>
            </w:r>
            <w:r>
              <w:rPr>
                <w:rFonts w:cstheme="minorHAnsi"/>
                <w:sz w:val="24"/>
                <w:szCs w:val="24"/>
              </w:rPr>
              <w:t xml:space="preserve"> brak oceny </w:t>
            </w:r>
            <w:r w:rsidR="00EA633A">
              <w:rPr>
                <w:rFonts w:cstheme="minorHAnsi"/>
                <w:sz w:val="24"/>
                <w:szCs w:val="24"/>
              </w:rPr>
              <w:t>efektów (pusty rozdział IV Ocena wpływu interwencji planu str. 228), a wskaźniki mają charakter produktu, nie rezultatu pokazującego faktyczną zmianę.</w:t>
            </w:r>
          </w:p>
        </w:tc>
      </w:tr>
      <w:tr w:rsidR="00C50A4A" w:rsidRPr="00D40888" w:rsidTr="00C50A4A">
        <w:trPr>
          <w:trHeight w:val="269"/>
        </w:trPr>
        <w:tc>
          <w:tcPr>
            <w:tcW w:w="180" w:type="pct"/>
          </w:tcPr>
          <w:p w:rsidR="00481606" w:rsidRDefault="004959B8" w:rsidP="00481606">
            <w:pPr>
              <w:jc w:val="both"/>
              <w:rPr>
                <w:rFonts w:cstheme="minorHAnsi"/>
                <w:sz w:val="24"/>
                <w:szCs w:val="24"/>
              </w:rPr>
            </w:pPr>
            <w:r>
              <w:rPr>
                <w:rFonts w:cstheme="minorHAnsi"/>
                <w:sz w:val="24"/>
                <w:szCs w:val="24"/>
              </w:rPr>
              <w:t>5</w:t>
            </w:r>
          </w:p>
        </w:tc>
        <w:tc>
          <w:tcPr>
            <w:tcW w:w="361" w:type="pct"/>
          </w:tcPr>
          <w:p w:rsidR="00481606" w:rsidRPr="00D40888" w:rsidRDefault="00481606" w:rsidP="00481606">
            <w:pPr>
              <w:jc w:val="both"/>
              <w:rPr>
                <w:rFonts w:cstheme="minorHAnsi"/>
                <w:sz w:val="24"/>
                <w:szCs w:val="24"/>
              </w:rPr>
            </w:pPr>
            <w:r w:rsidRPr="00D40888">
              <w:rPr>
                <w:rFonts w:cstheme="minorHAnsi"/>
                <w:sz w:val="24"/>
                <w:szCs w:val="24"/>
              </w:rPr>
              <w:t>ogólna</w:t>
            </w:r>
          </w:p>
        </w:tc>
        <w:tc>
          <w:tcPr>
            <w:tcW w:w="2027" w:type="pct"/>
          </w:tcPr>
          <w:p w:rsidR="00481606" w:rsidRPr="00D40888" w:rsidRDefault="00481606" w:rsidP="00C50A4A">
            <w:pPr>
              <w:jc w:val="both"/>
              <w:rPr>
                <w:rFonts w:cstheme="minorHAnsi"/>
                <w:sz w:val="24"/>
                <w:szCs w:val="24"/>
              </w:rPr>
            </w:pPr>
            <w:r w:rsidRPr="00D40888">
              <w:rPr>
                <w:rFonts w:cstheme="minorHAnsi"/>
                <w:sz w:val="24"/>
                <w:szCs w:val="24"/>
              </w:rPr>
              <w:t>Nierealność realizacji KPO zgodnie z założeniami</w:t>
            </w:r>
            <w:r>
              <w:rPr>
                <w:rFonts w:cstheme="minorHAnsi"/>
                <w:sz w:val="24"/>
                <w:szCs w:val="24"/>
              </w:rPr>
              <w:t>.</w:t>
            </w:r>
            <w:r w:rsidR="009C7D5A">
              <w:rPr>
                <w:rFonts w:cstheme="minorHAnsi"/>
                <w:sz w:val="24"/>
                <w:szCs w:val="24"/>
              </w:rPr>
              <w:t xml:space="preserve"> Poważna wątpliwość </w:t>
            </w:r>
            <w:r w:rsidR="00283F1F">
              <w:rPr>
                <w:rFonts w:cstheme="minorHAnsi"/>
                <w:sz w:val="24"/>
                <w:szCs w:val="24"/>
              </w:rPr>
              <w:t>co do szybkiej, sprawnej, skutecznej wykonalności</w:t>
            </w:r>
            <w:r w:rsidR="009C7D5A">
              <w:rPr>
                <w:rFonts w:cstheme="minorHAnsi"/>
                <w:sz w:val="24"/>
                <w:szCs w:val="24"/>
              </w:rPr>
              <w:t xml:space="preserve"> KPO, która była podst</w:t>
            </w:r>
            <w:r w:rsidR="00AA6C17">
              <w:rPr>
                <w:rFonts w:cstheme="minorHAnsi"/>
                <w:sz w:val="24"/>
                <w:szCs w:val="24"/>
              </w:rPr>
              <w:t>awowym założeniem programu.</w:t>
            </w:r>
          </w:p>
        </w:tc>
        <w:tc>
          <w:tcPr>
            <w:tcW w:w="2432" w:type="pct"/>
          </w:tcPr>
          <w:p w:rsidR="00750271" w:rsidRDefault="00481606" w:rsidP="00481606">
            <w:pPr>
              <w:jc w:val="both"/>
              <w:rPr>
                <w:rFonts w:cstheme="minorHAnsi"/>
                <w:sz w:val="24"/>
                <w:szCs w:val="24"/>
              </w:rPr>
            </w:pPr>
            <w:r w:rsidRPr="00D40888">
              <w:rPr>
                <w:rFonts w:cstheme="minorHAnsi"/>
                <w:sz w:val="24"/>
                <w:szCs w:val="24"/>
              </w:rPr>
              <w:t xml:space="preserve">W KPO założono </w:t>
            </w:r>
            <w:r w:rsidR="00AA6C17">
              <w:rPr>
                <w:rFonts w:cstheme="minorHAnsi"/>
                <w:sz w:val="24"/>
                <w:szCs w:val="24"/>
              </w:rPr>
              <w:t xml:space="preserve">np. </w:t>
            </w:r>
            <w:r w:rsidRPr="00D40888">
              <w:rPr>
                <w:rFonts w:cstheme="minorHAnsi"/>
                <w:sz w:val="24"/>
                <w:szCs w:val="24"/>
              </w:rPr>
              <w:t xml:space="preserve">realizację dużych inwestycji z sektorów energetycznego, drogowego czy informatycznego. Zapisano także znaczne zmiany legislacyjne konieczne do przeprowadzenia wskazanych reform. </w:t>
            </w:r>
            <w:r w:rsidRPr="00D40888">
              <w:rPr>
                <w:rFonts w:cstheme="minorHAnsi"/>
                <w:sz w:val="24"/>
                <w:szCs w:val="24"/>
              </w:rPr>
              <w:lastRenderedPageBreak/>
              <w:t>Jednocześnie zapisano warunek, że 70% środków trzeba zakontraktować do końca 2023 r. Jeśli nawet uda się sprostać temu wyzwaniu to kolejnym ryzykiem jest realizacja całości Planu do sierpnia 2026 r. (przy koniecznym wcześniej dostosowaniu otoczenia prawnego w dużej części obszarów mających otrzymać wsparcie).</w:t>
            </w:r>
            <w:r w:rsidR="008434DE">
              <w:rPr>
                <w:rFonts w:cstheme="minorHAnsi"/>
                <w:sz w:val="24"/>
                <w:szCs w:val="24"/>
              </w:rPr>
              <w:t xml:space="preserve"> </w:t>
            </w:r>
          </w:p>
          <w:p w:rsidR="00481606" w:rsidRDefault="008434DE" w:rsidP="00481606">
            <w:pPr>
              <w:jc w:val="both"/>
              <w:rPr>
                <w:rFonts w:cstheme="minorHAnsi"/>
                <w:sz w:val="24"/>
                <w:szCs w:val="24"/>
              </w:rPr>
            </w:pPr>
            <w:r>
              <w:rPr>
                <w:rFonts w:cstheme="minorHAnsi"/>
                <w:sz w:val="24"/>
                <w:szCs w:val="24"/>
              </w:rPr>
              <w:t xml:space="preserve">KPO zakłada </w:t>
            </w:r>
            <w:r w:rsidR="00052EF5">
              <w:rPr>
                <w:rFonts w:cstheme="minorHAnsi"/>
                <w:sz w:val="24"/>
                <w:szCs w:val="24"/>
              </w:rPr>
              <w:t xml:space="preserve">nieuzasadnione </w:t>
            </w:r>
            <w:r>
              <w:rPr>
                <w:rFonts w:cstheme="minorHAnsi"/>
                <w:sz w:val="24"/>
                <w:szCs w:val="24"/>
              </w:rPr>
              <w:t>tworzenie nowych instytucji przy jego wdrażaniu</w:t>
            </w:r>
            <w:r w:rsidR="00052EF5">
              <w:rPr>
                <w:rFonts w:cstheme="minorHAnsi"/>
                <w:sz w:val="24"/>
                <w:szCs w:val="24"/>
              </w:rPr>
              <w:t xml:space="preserve">, a to (plus procedury naborów projektów) </w:t>
            </w:r>
            <w:r>
              <w:rPr>
                <w:rFonts w:cstheme="minorHAnsi"/>
                <w:sz w:val="24"/>
                <w:szCs w:val="24"/>
              </w:rPr>
              <w:t>dodatkowy czas i koszty.</w:t>
            </w:r>
          </w:p>
          <w:p w:rsidR="00481606" w:rsidRPr="00D40888" w:rsidRDefault="00481606" w:rsidP="00481606">
            <w:pPr>
              <w:jc w:val="both"/>
              <w:rPr>
                <w:rFonts w:cstheme="minorHAnsi"/>
                <w:sz w:val="24"/>
                <w:szCs w:val="24"/>
              </w:rPr>
            </w:pPr>
          </w:p>
        </w:tc>
      </w:tr>
      <w:tr w:rsidR="00C50A4A" w:rsidRPr="00D40888" w:rsidTr="00C50A4A">
        <w:trPr>
          <w:trHeight w:val="269"/>
        </w:trPr>
        <w:tc>
          <w:tcPr>
            <w:tcW w:w="180" w:type="pct"/>
          </w:tcPr>
          <w:p w:rsidR="00481606" w:rsidRPr="00D40888" w:rsidRDefault="004959B8" w:rsidP="00481606">
            <w:pPr>
              <w:jc w:val="both"/>
              <w:rPr>
                <w:rFonts w:cstheme="minorHAnsi"/>
                <w:sz w:val="24"/>
                <w:szCs w:val="24"/>
              </w:rPr>
            </w:pPr>
            <w:r>
              <w:rPr>
                <w:rFonts w:cstheme="minorHAnsi"/>
                <w:sz w:val="24"/>
                <w:szCs w:val="24"/>
              </w:rPr>
              <w:lastRenderedPageBreak/>
              <w:t>6</w:t>
            </w:r>
          </w:p>
        </w:tc>
        <w:tc>
          <w:tcPr>
            <w:tcW w:w="361" w:type="pct"/>
          </w:tcPr>
          <w:p w:rsidR="00481606" w:rsidRPr="00D40888" w:rsidRDefault="00481606" w:rsidP="00481606">
            <w:pPr>
              <w:jc w:val="both"/>
              <w:rPr>
                <w:rFonts w:cstheme="minorHAnsi"/>
                <w:sz w:val="24"/>
                <w:szCs w:val="24"/>
              </w:rPr>
            </w:pPr>
            <w:r w:rsidRPr="00D40888">
              <w:rPr>
                <w:rFonts w:cstheme="minorHAnsi"/>
                <w:sz w:val="24"/>
                <w:szCs w:val="24"/>
              </w:rPr>
              <w:t>ogólna</w:t>
            </w:r>
          </w:p>
        </w:tc>
        <w:tc>
          <w:tcPr>
            <w:tcW w:w="2027" w:type="pct"/>
          </w:tcPr>
          <w:p w:rsidR="00481606" w:rsidRPr="00D40888" w:rsidRDefault="00481606" w:rsidP="00481606">
            <w:pPr>
              <w:pStyle w:val="Bezodstpw"/>
              <w:jc w:val="both"/>
              <w:rPr>
                <w:rFonts w:cstheme="minorHAnsi"/>
                <w:sz w:val="24"/>
                <w:szCs w:val="24"/>
              </w:rPr>
            </w:pPr>
            <w:r w:rsidRPr="00D40888">
              <w:rPr>
                <w:rFonts w:cstheme="minorHAnsi"/>
                <w:sz w:val="24"/>
                <w:szCs w:val="24"/>
              </w:rPr>
              <w:t>Brak uzasadnienia, odwołania do konkretnych analiz, które by potwierdzały poniższy wniosek:</w:t>
            </w:r>
          </w:p>
          <w:p w:rsidR="00481606" w:rsidRPr="00D40888" w:rsidRDefault="00481606" w:rsidP="00481606">
            <w:pPr>
              <w:pStyle w:val="Bezodstpw"/>
              <w:jc w:val="both"/>
              <w:rPr>
                <w:rFonts w:cstheme="minorHAnsi"/>
                <w:sz w:val="24"/>
                <w:szCs w:val="24"/>
              </w:rPr>
            </w:pPr>
          </w:p>
          <w:p w:rsidR="00481606" w:rsidRPr="00D40888" w:rsidRDefault="00481606" w:rsidP="00481606">
            <w:pPr>
              <w:pStyle w:val="Bezodstpw"/>
              <w:jc w:val="both"/>
              <w:rPr>
                <w:rFonts w:cstheme="minorHAnsi"/>
                <w:sz w:val="24"/>
                <w:szCs w:val="24"/>
              </w:rPr>
            </w:pPr>
            <w:r w:rsidRPr="00D40888">
              <w:rPr>
                <w:rFonts w:cstheme="minorHAnsi"/>
                <w:sz w:val="24"/>
                <w:szCs w:val="24"/>
              </w:rPr>
              <w:t>1.2 Wyzwania rozwojowe (str. 10)</w:t>
            </w:r>
          </w:p>
          <w:p w:rsidR="00481606" w:rsidRPr="00D40888" w:rsidRDefault="00481606" w:rsidP="00481606">
            <w:pPr>
              <w:pStyle w:val="Bezodstpw"/>
              <w:jc w:val="both"/>
              <w:rPr>
                <w:rFonts w:cstheme="minorHAnsi"/>
                <w:sz w:val="24"/>
                <w:szCs w:val="24"/>
              </w:rPr>
            </w:pPr>
            <w:r w:rsidRPr="00D40888">
              <w:rPr>
                <w:rFonts w:cstheme="minorHAnsi"/>
                <w:sz w:val="24"/>
                <w:szCs w:val="24"/>
              </w:rPr>
              <w:t>„Skutki pandemii odczuwają wszyscy mieszkańcy kraju, jednak najbardziej boleśnie kryzys uderza w obszary, które już wcześniej doświadczały największych trudności rozwojowych, tj. miasta średnie tracące funkcje społeczno-gospodarcze i terytoria z nimi powiązane funkcjonalnie oraz obszary zagrożone trwałą marginalizacją, czyli obszary strategicznej interwencji wskazane w strategiach krajowych – OSI”.</w:t>
            </w:r>
          </w:p>
          <w:p w:rsidR="00AA6C17" w:rsidRDefault="00AA6C17" w:rsidP="00481606">
            <w:pPr>
              <w:pStyle w:val="Bezodstpw"/>
              <w:jc w:val="both"/>
              <w:rPr>
                <w:rFonts w:cstheme="minorHAnsi"/>
                <w:sz w:val="24"/>
                <w:szCs w:val="24"/>
              </w:rPr>
            </w:pPr>
          </w:p>
          <w:p w:rsidR="00481606" w:rsidRDefault="00AA6C17" w:rsidP="00481606">
            <w:pPr>
              <w:pStyle w:val="Bezodstpw"/>
              <w:jc w:val="both"/>
              <w:rPr>
                <w:rFonts w:cstheme="minorHAnsi"/>
                <w:sz w:val="24"/>
                <w:szCs w:val="24"/>
              </w:rPr>
            </w:pPr>
            <w:r>
              <w:rPr>
                <w:rFonts w:cstheme="minorHAnsi"/>
                <w:sz w:val="24"/>
                <w:szCs w:val="24"/>
              </w:rPr>
              <w:t>B</w:t>
            </w:r>
            <w:r w:rsidR="00276A12">
              <w:rPr>
                <w:rFonts w:cstheme="minorHAnsi"/>
                <w:sz w:val="24"/>
                <w:szCs w:val="24"/>
              </w:rPr>
              <w:t xml:space="preserve">łędne </w:t>
            </w:r>
            <w:r w:rsidR="00276A12" w:rsidRPr="00276A12">
              <w:rPr>
                <w:rFonts w:cstheme="minorHAnsi"/>
                <w:sz w:val="24"/>
                <w:szCs w:val="24"/>
              </w:rPr>
              <w:t xml:space="preserve">przyjęcie </w:t>
            </w:r>
            <w:r w:rsidR="00276A12">
              <w:rPr>
                <w:rFonts w:cstheme="minorHAnsi"/>
                <w:sz w:val="24"/>
                <w:szCs w:val="24"/>
              </w:rPr>
              <w:t xml:space="preserve">optyki wsparcia podobnej jak dla </w:t>
            </w:r>
            <w:r w:rsidR="00377491">
              <w:rPr>
                <w:rFonts w:cstheme="minorHAnsi"/>
                <w:sz w:val="24"/>
                <w:szCs w:val="24"/>
              </w:rPr>
              <w:t xml:space="preserve">polityki rządowej (SOR) oraz funduszy </w:t>
            </w:r>
            <w:proofErr w:type="spellStart"/>
            <w:r w:rsidR="00377491">
              <w:rPr>
                <w:rFonts w:cstheme="minorHAnsi"/>
                <w:sz w:val="24"/>
                <w:szCs w:val="24"/>
              </w:rPr>
              <w:t>spójnościowych</w:t>
            </w:r>
            <w:proofErr w:type="spellEnd"/>
            <w:r w:rsidR="00377491">
              <w:rPr>
                <w:rFonts w:cstheme="minorHAnsi"/>
                <w:sz w:val="24"/>
                <w:szCs w:val="24"/>
              </w:rPr>
              <w:t>.</w:t>
            </w:r>
          </w:p>
          <w:p w:rsidR="00276A12" w:rsidRPr="00276A12" w:rsidRDefault="00276A12" w:rsidP="00481606">
            <w:pPr>
              <w:pStyle w:val="Bezodstpw"/>
              <w:jc w:val="both"/>
              <w:rPr>
                <w:rFonts w:cstheme="minorHAnsi"/>
                <w:sz w:val="24"/>
                <w:szCs w:val="24"/>
              </w:rPr>
            </w:pPr>
          </w:p>
        </w:tc>
        <w:tc>
          <w:tcPr>
            <w:tcW w:w="2432" w:type="pct"/>
          </w:tcPr>
          <w:p w:rsidR="00481606" w:rsidRPr="00D40888" w:rsidRDefault="00481606" w:rsidP="00481606">
            <w:pPr>
              <w:jc w:val="both"/>
              <w:rPr>
                <w:rFonts w:cstheme="minorHAnsi"/>
                <w:sz w:val="24"/>
                <w:szCs w:val="24"/>
              </w:rPr>
            </w:pPr>
            <w:r w:rsidRPr="00D40888">
              <w:rPr>
                <w:rFonts w:cstheme="minorHAnsi"/>
                <w:sz w:val="24"/>
                <w:szCs w:val="24"/>
              </w:rPr>
              <w:t xml:space="preserve">Wszelkie konstatacje stanu problemowego, zwłaszcza takie, które wyłączają terytorialnie lub podmiotowo z możliwości uzyskania wsparcia, powinny być uzasadnione. Identyfikacja OSI nie oznacza automatycznie potraktowania tych obszarów jako dotkniętych bardziej niż inne skutkami pandemii ani też jako bardziej niż inne rokujących na budowanie w oparciu o ich potencjały przyszłej odporności kraju na sytuacje kryzysowe. </w:t>
            </w:r>
          </w:p>
          <w:p w:rsidR="00481606" w:rsidRPr="00D40888" w:rsidRDefault="00481606" w:rsidP="00481606">
            <w:pPr>
              <w:jc w:val="both"/>
              <w:rPr>
                <w:rFonts w:cstheme="minorHAnsi"/>
                <w:sz w:val="24"/>
                <w:szCs w:val="24"/>
              </w:rPr>
            </w:pPr>
          </w:p>
          <w:p w:rsidR="00AB198D" w:rsidRDefault="00481606" w:rsidP="00276A12">
            <w:pPr>
              <w:jc w:val="both"/>
              <w:rPr>
                <w:rFonts w:cstheme="minorHAnsi"/>
                <w:sz w:val="24"/>
                <w:szCs w:val="24"/>
              </w:rPr>
            </w:pPr>
            <w:r w:rsidRPr="00D40888">
              <w:rPr>
                <w:rFonts w:cstheme="minorHAnsi"/>
                <w:sz w:val="24"/>
                <w:szCs w:val="24"/>
              </w:rPr>
              <w:t xml:space="preserve"> </w:t>
            </w:r>
          </w:p>
          <w:p w:rsidR="00B93D0B" w:rsidRDefault="00276A12" w:rsidP="00276A12">
            <w:pPr>
              <w:jc w:val="both"/>
              <w:rPr>
                <w:rFonts w:cstheme="minorHAnsi"/>
                <w:sz w:val="24"/>
                <w:szCs w:val="24"/>
              </w:rPr>
            </w:pPr>
            <w:r>
              <w:rPr>
                <w:rFonts w:cstheme="minorHAnsi"/>
                <w:sz w:val="24"/>
                <w:szCs w:val="24"/>
              </w:rPr>
              <w:t>KPO powinno być programem oddziaływania na specyficzne problemy wywołane pandemią i zapobiegania podobnym wstrząsom w przyszłości, a nie narzędziem finansowania obecnej polityki</w:t>
            </w:r>
            <w:r w:rsidR="00AA6C17">
              <w:rPr>
                <w:rFonts w:cstheme="minorHAnsi"/>
                <w:sz w:val="24"/>
                <w:szCs w:val="24"/>
              </w:rPr>
              <w:t xml:space="preserve"> (</w:t>
            </w:r>
            <w:r w:rsidR="00B93D0B">
              <w:rPr>
                <w:rFonts w:cstheme="minorHAnsi"/>
                <w:sz w:val="24"/>
                <w:szCs w:val="24"/>
              </w:rPr>
              <w:t xml:space="preserve">w tym </w:t>
            </w:r>
            <w:r w:rsidR="00AA6C17">
              <w:rPr>
                <w:rFonts w:cstheme="minorHAnsi"/>
                <w:sz w:val="24"/>
                <w:szCs w:val="24"/>
              </w:rPr>
              <w:t>odtwarzania zapisów SOR)</w:t>
            </w:r>
            <w:r>
              <w:rPr>
                <w:rFonts w:cstheme="minorHAnsi"/>
                <w:sz w:val="24"/>
                <w:szCs w:val="24"/>
              </w:rPr>
              <w:t>, innych potrzeb niż te „celowane” w kryzys</w:t>
            </w:r>
            <w:r w:rsidR="00DA6E24">
              <w:rPr>
                <w:rFonts w:cstheme="minorHAnsi"/>
                <w:sz w:val="24"/>
                <w:szCs w:val="24"/>
              </w:rPr>
              <w:t>.</w:t>
            </w:r>
            <w:r w:rsidR="00AA6C17">
              <w:rPr>
                <w:rFonts w:cstheme="minorHAnsi"/>
                <w:sz w:val="24"/>
                <w:szCs w:val="24"/>
              </w:rPr>
              <w:t xml:space="preserve"> </w:t>
            </w:r>
          </w:p>
          <w:p w:rsidR="00481606" w:rsidRPr="00D40888" w:rsidRDefault="00AA6C17" w:rsidP="00276A12">
            <w:pPr>
              <w:jc w:val="both"/>
              <w:rPr>
                <w:rFonts w:cstheme="minorHAnsi"/>
                <w:sz w:val="24"/>
                <w:szCs w:val="24"/>
              </w:rPr>
            </w:pPr>
            <w:r>
              <w:rPr>
                <w:rFonts w:cstheme="minorHAnsi"/>
                <w:sz w:val="24"/>
                <w:szCs w:val="24"/>
              </w:rPr>
              <w:t>Zaciera się linia demarkacyjna</w:t>
            </w:r>
            <w:r w:rsidR="00AF41A3">
              <w:rPr>
                <w:rFonts w:cstheme="minorHAnsi"/>
                <w:sz w:val="24"/>
                <w:szCs w:val="24"/>
              </w:rPr>
              <w:t xml:space="preserve"> między KPO a programami rządowymi, programami operacyjnymi krajowymi/regionalnymi przyszłej perspektywy.</w:t>
            </w:r>
          </w:p>
        </w:tc>
      </w:tr>
      <w:tr w:rsidR="00C50A4A" w:rsidRPr="00D40888" w:rsidTr="00C50A4A">
        <w:trPr>
          <w:trHeight w:val="269"/>
        </w:trPr>
        <w:tc>
          <w:tcPr>
            <w:tcW w:w="180" w:type="pct"/>
          </w:tcPr>
          <w:p w:rsidR="00481606" w:rsidRPr="00D40888" w:rsidRDefault="004959B8" w:rsidP="00481606">
            <w:pPr>
              <w:jc w:val="both"/>
              <w:rPr>
                <w:rFonts w:cstheme="minorHAnsi"/>
                <w:sz w:val="24"/>
                <w:szCs w:val="24"/>
              </w:rPr>
            </w:pPr>
            <w:r>
              <w:rPr>
                <w:rFonts w:cstheme="minorHAnsi"/>
                <w:sz w:val="24"/>
                <w:szCs w:val="24"/>
              </w:rPr>
              <w:t>7</w:t>
            </w:r>
          </w:p>
        </w:tc>
        <w:tc>
          <w:tcPr>
            <w:tcW w:w="361" w:type="pct"/>
          </w:tcPr>
          <w:p w:rsidR="00481606" w:rsidRPr="00D40888" w:rsidRDefault="00481606" w:rsidP="00481606">
            <w:pPr>
              <w:jc w:val="both"/>
              <w:rPr>
                <w:rFonts w:cstheme="minorHAnsi"/>
                <w:sz w:val="24"/>
                <w:szCs w:val="24"/>
              </w:rPr>
            </w:pPr>
          </w:p>
          <w:p w:rsidR="00481606" w:rsidRPr="00D40888" w:rsidRDefault="00481606" w:rsidP="00481606">
            <w:pPr>
              <w:jc w:val="both"/>
              <w:rPr>
                <w:rFonts w:cstheme="minorHAnsi"/>
                <w:sz w:val="24"/>
                <w:szCs w:val="24"/>
              </w:rPr>
            </w:pPr>
            <w:r w:rsidRPr="00D40888">
              <w:rPr>
                <w:rFonts w:cstheme="minorHAnsi"/>
                <w:sz w:val="24"/>
                <w:szCs w:val="24"/>
              </w:rPr>
              <w:t>ogólna; Str. 3, 37-38</w:t>
            </w:r>
          </w:p>
        </w:tc>
        <w:tc>
          <w:tcPr>
            <w:tcW w:w="2027" w:type="pct"/>
          </w:tcPr>
          <w:p w:rsidR="00481606" w:rsidRPr="00D40888" w:rsidRDefault="00481606" w:rsidP="00481606">
            <w:pPr>
              <w:jc w:val="both"/>
              <w:rPr>
                <w:rFonts w:cstheme="minorHAnsi"/>
                <w:sz w:val="24"/>
                <w:szCs w:val="24"/>
              </w:rPr>
            </w:pPr>
            <w:r w:rsidRPr="00D40888">
              <w:rPr>
                <w:rFonts w:cstheme="minorHAnsi"/>
                <w:sz w:val="24"/>
                <w:szCs w:val="24"/>
              </w:rPr>
              <w:t>Nie zapewniono w wystarczający sposób spełnienia  Szczegółowych  Zaleceń dla Polski, tj.:</w:t>
            </w:r>
          </w:p>
          <w:p w:rsidR="00481606" w:rsidRPr="00D40888" w:rsidRDefault="00481606" w:rsidP="00481606">
            <w:pPr>
              <w:jc w:val="both"/>
              <w:rPr>
                <w:rFonts w:cstheme="minorHAnsi"/>
                <w:sz w:val="24"/>
                <w:szCs w:val="24"/>
              </w:rPr>
            </w:pPr>
            <w:r w:rsidRPr="00D40888">
              <w:rPr>
                <w:rFonts w:cstheme="minorHAnsi"/>
                <w:sz w:val="24"/>
                <w:szCs w:val="24"/>
              </w:rPr>
              <w:t>- skuteczn</w:t>
            </w:r>
            <w:r w:rsidR="00C50A4A">
              <w:rPr>
                <w:rFonts w:cstheme="minorHAnsi"/>
                <w:sz w:val="24"/>
                <w:szCs w:val="24"/>
              </w:rPr>
              <w:t>e</w:t>
            </w:r>
            <w:r w:rsidRPr="00D40888">
              <w:rPr>
                <w:rFonts w:cstheme="minorHAnsi"/>
                <w:sz w:val="24"/>
                <w:szCs w:val="24"/>
              </w:rPr>
              <w:t xml:space="preserve"> konsultacj</w:t>
            </w:r>
            <w:r w:rsidR="00C50A4A">
              <w:rPr>
                <w:rFonts w:cstheme="minorHAnsi"/>
                <w:sz w:val="24"/>
                <w:szCs w:val="24"/>
              </w:rPr>
              <w:t>e</w:t>
            </w:r>
            <w:r w:rsidRPr="00D40888">
              <w:rPr>
                <w:rFonts w:cstheme="minorHAnsi"/>
                <w:sz w:val="24"/>
                <w:szCs w:val="24"/>
              </w:rPr>
              <w:t xml:space="preserve"> publiczn</w:t>
            </w:r>
            <w:r w:rsidR="00C50A4A">
              <w:rPr>
                <w:rFonts w:cstheme="minorHAnsi"/>
                <w:sz w:val="24"/>
                <w:szCs w:val="24"/>
              </w:rPr>
              <w:t>e</w:t>
            </w:r>
            <w:r w:rsidRPr="00D40888">
              <w:rPr>
                <w:rFonts w:cstheme="minorHAnsi"/>
                <w:sz w:val="24"/>
                <w:szCs w:val="24"/>
              </w:rPr>
              <w:t xml:space="preserve"> i zaangażowani</w:t>
            </w:r>
            <w:r w:rsidR="00C50A4A">
              <w:rPr>
                <w:rFonts w:cstheme="minorHAnsi"/>
                <w:sz w:val="24"/>
                <w:szCs w:val="24"/>
              </w:rPr>
              <w:t>e</w:t>
            </w:r>
            <w:r w:rsidRPr="00D40888">
              <w:rPr>
                <w:rFonts w:cstheme="minorHAnsi"/>
                <w:sz w:val="24"/>
                <w:szCs w:val="24"/>
              </w:rPr>
              <w:t xml:space="preserve"> partnerów społecznych w proces kształtowania polityki,</w:t>
            </w:r>
          </w:p>
          <w:p w:rsidR="00481606" w:rsidRPr="00D40888" w:rsidRDefault="00481606" w:rsidP="00481606">
            <w:pPr>
              <w:jc w:val="both"/>
              <w:rPr>
                <w:rFonts w:cstheme="minorHAnsi"/>
                <w:sz w:val="24"/>
                <w:szCs w:val="24"/>
              </w:rPr>
            </w:pPr>
            <w:r w:rsidRPr="00D40888">
              <w:rPr>
                <w:rFonts w:cstheme="minorHAnsi"/>
                <w:sz w:val="24"/>
                <w:szCs w:val="24"/>
              </w:rPr>
              <w:t>- poprawa klimatu inwestycyjnego, w szczególności przez ochronę niezależności sądów;</w:t>
            </w:r>
          </w:p>
          <w:p w:rsidR="00481606" w:rsidRDefault="00481606" w:rsidP="00481606">
            <w:pPr>
              <w:jc w:val="both"/>
              <w:rPr>
                <w:rFonts w:cstheme="minorHAnsi"/>
                <w:sz w:val="24"/>
                <w:szCs w:val="24"/>
              </w:rPr>
            </w:pPr>
            <w:r w:rsidRPr="00D40888">
              <w:rPr>
                <w:rFonts w:cstheme="minorHAnsi"/>
                <w:sz w:val="24"/>
                <w:szCs w:val="24"/>
              </w:rPr>
              <w:t>Kwestionujemy zapisy na str. 3 mówiące o przeprowadzeniu dogłębnej oceny sytuacji społeczno-gospodarczej spowodowanej pandemią oraz konsultacjach m.in. z samorządami terytorialnymi.</w:t>
            </w:r>
          </w:p>
          <w:p w:rsidR="00B93D0B" w:rsidRDefault="00B93D0B" w:rsidP="00481606">
            <w:pPr>
              <w:jc w:val="both"/>
              <w:rPr>
                <w:rFonts w:cstheme="minorHAnsi"/>
                <w:sz w:val="24"/>
                <w:szCs w:val="24"/>
              </w:rPr>
            </w:pPr>
          </w:p>
          <w:p w:rsidR="00481606" w:rsidRPr="00D40888" w:rsidRDefault="00AB198D" w:rsidP="00481606">
            <w:pPr>
              <w:jc w:val="both"/>
              <w:rPr>
                <w:rFonts w:cstheme="minorHAnsi"/>
                <w:sz w:val="24"/>
                <w:szCs w:val="24"/>
              </w:rPr>
            </w:pPr>
            <w:r>
              <w:rPr>
                <w:rFonts w:cstheme="minorHAnsi"/>
                <w:sz w:val="24"/>
                <w:szCs w:val="24"/>
              </w:rPr>
              <w:lastRenderedPageBreak/>
              <w:t xml:space="preserve">W pewnych obszarach KPO jest </w:t>
            </w:r>
            <w:r w:rsidR="004D1297">
              <w:rPr>
                <w:rFonts w:cstheme="minorHAnsi"/>
                <w:sz w:val="24"/>
                <w:szCs w:val="24"/>
              </w:rPr>
              <w:t xml:space="preserve">dokumentem kolizyjnym wobec Zaleceń Rady, np. </w:t>
            </w:r>
            <w:r>
              <w:rPr>
                <w:rFonts w:cstheme="minorHAnsi"/>
                <w:sz w:val="24"/>
                <w:szCs w:val="24"/>
              </w:rPr>
              <w:t xml:space="preserve"> </w:t>
            </w:r>
            <w:r w:rsidR="004D1297">
              <w:rPr>
                <w:rFonts w:cstheme="minorHAnsi"/>
                <w:sz w:val="24"/>
                <w:szCs w:val="24"/>
              </w:rPr>
              <w:t xml:space="preserve">w obszarze </w:t>
            </w:r>
            <w:r w:rsidR="00A06340">
              <w:rPr>
                <w:rFonts w:cstheme="minorHAnsi"/>
                <w:sz w:val="24"/>
                <w:szCs w:val="24"/>
              </w:rPr>
              <w:t xml:space="preserve">systemu emerytalnego i </w:t>
            </w:r>
            <w:r w:rsidR="004D1297">
              <w:rPr>
                <w:rFonts w:cstheme="minorHAnsi"/>
                <w:sz w:val="24"/>
                <w:szCs w:val="24"/>
              </w:rPr>
              <w:t>aktywizacji zawodowej</w:t>
            </w:r>
            <w:r w:rsidR="00C50A4A">
              <w:rPr>
                <w:rFonts w:cstheme="minorHAnsi"/>
                <w:sz w:val="24"/>
                <w:szCs w:val="24"/>
              </w:rPr>
              <w:t>, praworządności/stabilności systemu prawnego jako warunku dobrego klimatu inwestycyjnego.</w:t>
            </w:r>
          </w:p>
        </w:tc>
        <w:tc>
          <w:tcPr>
            <w:tcW w:w="2432" w:type="pct"/>
          </w:tcPr>
          <w:p w:rsidR="00481606" w:rsidRDefault="00481606" w:rsidP="00481606">
            <w:pPr>
              <w:jc w:val="both"/>
              <w:rPr>
                <w:rFonts w:cstheme="minorHAnsi"/>
                <w:sz w:val="24"/>
                <w:szCs w:val="24"/>
              </w:rPr>
            </w:pPr>
            <w:r w:rsidRPr="00D40888">
              <w:rPr>
                <w:rFonts w:cstheme="minorHAnsi"/>
                <w:sz w:val="24"/>
                <w:szCs w:val="24"/>
              </w:rPr>
              <w:lastRenderedPageBreak/>
              <w:t>KPO fakty</w:t>
            </w:r>
            <w:r w:rsidR="00F7536C">
              <w:rPr>
                <w:rFonts w:cstheme="minorHAnsi"/>
                <w:sz w:val="24"/>
                <w:szCs w:val="24"/>
              </w:rPr>
              <w:t xml:space="preserve">cznie ignoruje te dwa aspekty. </w:t>
            </w:r>
            <w:r w:rsidRPr="00D40888">
              <w:rPr>
                <w:rFonts w:cstheme="minorHAnsi"/>
                <w:sz w:val="24"/>
                <w:szCs w:val="24"/>
              </w:rPr>
              <w:t>Jako samorząd dużego miasta i członek Unii Metropolii Polskich oraz Związku Miast Pols</w:t>
            </w:r>
            <w:r w:rsidR="009422EF">
              <w:rPr>
                <w:rFonts w:cstheme="minorHAnsi"/>
                <w:sz w:val="24"/>
                <w:szCs w:val="24"/>
              </w:rPr>
              <w:t>kich zgłaszamy brak konsultacji</w:t>
            </w:r>
            <w:r w:rsidRPr="00D40888">
              <w:rPr>
                <w:rFonts w:cstheme="minorHAnsi"/>
                <w:sz w:val="24"/>
                <w:szCs w:val="24"/>
              </w:rPr>
              <w:t xml:space="preserve"> z samorządami miast – nie można określać konsultacjami procesu zbierania jedynie fiszek projektowych potencjalnie zgodnych z celami instrumentu RRF, z których zresztą niewiele znalazło miejsce w KPO np. infrastruktura tramwajowa czy drogowa</w:t>
            </w:r>
            <w:r w:rsidR="009422EF">
              <w:rPr>
                <w:rFonts w:cstheme="minorHAnsi"/>
                <w:sz w:val="24"/>
                <w:szCs w:val="24"/>
              </w:rPr>
              <w:t>. KPO nie odzwierciedla w żaden sposób wkładu samorządów w jego tworzenie,</w:t>
            </w:r>
            <w:r w:rsidRPr="00D40888">
              <w:rPr>
                <w:rFonts w:cstheme="minorHAnsi"/>
                <w:sz w:val="24"/>
                <w:szCs w:val="24"/>
              </w:rPr>
              <w:t xml:space="preserve"> jest dokumentem scentralizowanym, skoncentrowanym na realizacji celów politycznych rządu, wspieraniu instytucji i programów państwowych</w:t>
            </w:r>
            <w:r w:rsidR="004D1297">
              <w:rPr>
                <w:rFonts w:cstheme="minorHAnsi"/>
                <w:sz w:val="24"/>
                <w:szCs w:val="24"/>
              </w:rPr>
              <w:t xml:space="preserve"> (tematów wyborczych).</w:t>
            </w:r>
            <w:r w:rsidR="00A06340">
              <w:rPr>
                <w:rFonts w:cstheme="minorHAnsi"/>
                <w:sz w:val="24"/>
                <w:szCs w:val="24"/>
              </w:rPr>
              <w:t xml:space="preserve"> </w:t>
            </w:r>
          </w:p>
          <w:p w:rsidR="00B93D0B" w:rsidRDefault="00B93D0B" w:rsidP="00481606">
            <w:pPr>
              <w:jc w:val="both"/>
              <w:rPr>
                <w:rFonts w:cstheme="minorHAnsi"/>
                <w:sz w:val="24"/>
                <w:szCs w:val="24"/>
              </w:rPr>
            </w:pPr>
          </w:p>
          <w:p w:rsidR="006919C3" w:rsidRPr="00D40888" w:rsidRDefault="00A06340" w:rsidP="00481606">
            <w:pPr>
              <w:jc w:val="both"/>
              <w:rPr>
                <w:rFonts w:cstheme="minorHAnsi"/>
                <w:sz w:val="24"/>
                <w:szCs w:val="24"/>
              </w:rPr>
            </w:pPr>
            <w:r>
              <w:rPr>
                <w:rFonts w:cstheme="minorHAnsi"/>
                <w:sz w:val="24"/>
                <w:szCs w:val="24"/>
              </w:rPr>
              <w:lastRenderedPageBreak/>
              <w:t xml:space="preserve">W pewnych obszarach KPO nie tylko nie stosuje Zaleceń Rady, a wręcz z nimi polemizuje: inaczej jest </w:t>
            </w:r>
            <w:r w:rsidR="00B93D0B">
              <w:rPr>
                <w:rFonts w:cstheme="minorHAnsi"/>
                <w:sz w:val="24"/>
                <w:szCs w:val="24"/>
              </w:rPr>
              <w:t xml:space="preserve">np. </w:t>
            </w:r>
            <w:r>
              <w:rPr>
                <w:rFonts w:cstheme="minorHAnsi"/>
                <w:sz w:val="24"/>
                <w:szCs w:val="24"/>
              </w:rPr>
              <w:t>rozumiana stabilność systemu emerytalnego i aktywizacji zawodowej (obniżenie wieku a wspieranie dłuższej aktywności zawodowej; system świadczeń a zachęty do podejmowania pracy)</w:t>
            </w:r>
            <w:r w:rsidR="00C50A4A">
              <w:rPr>
                <w:rFonts w:cstheme="minorHAnsi"/>
                <w:sz w:val="24"/>
                <w:szCs w:val="24"/>
              </w:rPr>
              <w:t>; powiązania praworządności z klimatem inwestycyjnym (KPO „nie widzi związku”).</w:t>
            </w:r>
          </w:p>
        </w:tc>
      </w:tr>
      <w:tr w:rsidR="00C50A4A" w:rsidRPr="00D40888" w:rsidTr="00C50A4A">
        <w:trPr>
          <w:trHeight w:val="269"/>
        </w:trPr>
        <w:tc>
          <w:tcPr>
            <w:tcW w:w="180" w:type="pct"/>
          </w:tcPr>
          <w:p w:rsidR="0000249C" w:rsidRDefault="004959B8" w:rsidP="0000249C">
            <w:pPr>
              <w:jc w:val="both"/>
              <w:rPr>
                <w:rFonts w:cstheme="minorHAnsi"/>
                <w:sz w:val="24"/>
                <w:szCs w:val="24"/>
              </w:rPr>
            </w:pPr>
            <w:r>
              <w:rPr>
                <w:rFonts w:cstheme="minorHAnsi"/>
                <w:sz w:val="24"/>
                <w:szCs w:val="24"/>
              </w:rPr>
              <w:lastRenderedPageBreak/>
              <w:t>8</w:t>
            </w:r>
          </w:p>
        </w:tc>
        <w:tc>
          <w:tcPr>
            <w:tcW w:w="361" w:type="pct"/>
          </w:tcPr>
          <w:p w:rsidR="0000249C" w:rsidRPr="00D40888" w:rsidRDefault="0000249C" w:rsidP="0000249C">
            <w:pPr>
              <w:jc w:val="both"/>
              <w:rPr>
                <w:rFonts w:cstheme="minorHAnsi"/>
                <w:sz w:val="24"/>
                <w:szCs w:val="24"/>
              </w:rPr>
            </w:pPr>
            <w:r w:rsidRPr="00D40888">
              <w:rPr>
                <w:rFonts w:cstheme="minorHAnsi"/>
                <w:sz w:val="24"/>
                <w:szCs w:val="24"/>
              </w:rPr>
              <w:t>ogólna</w:t>
            </w:r>
          </w:p>
        </w:tc>
        <w:tc>
          <w:tcPr>
            <w:tcW w:w="2027" w:type="pct"/>
          </w:tcPr>
          <w:p w:rsidR="0000249C" w:rsidRPr="00D40888" w:rsidRDefault="0000249C" w:rsidP="0000249C">
            <w:pPr>
              <w:jc w:val="both"/>
              <w:rPr>
                <w:rFonts w:cstheme="minorHAnsi"/>
                <w:sz w:val="24"/>
                <w:szCs w:val="24"/>
              </w:rPr>
            </w:pPr>
            <w:r w:rsidRPr="00D40888">
              <w:rPr>
                <w:rFonts w:cstheme="minorHAnsi"/>
                <w:sz w:val="24"/>
                <w:szCs w:val="24"/>
              </w:rPr>
              <w:t>Duże miasta są bezpodstawnie wykluczone ze wsparcia w większości obszarów – np.  z działań dot. adaptacji do zmian klimatu-zieleni, inwestycji w OZE i systemy ciepłownicze; brak wsparcia dla infrastruktury tramwajowej. Przykładowe zapisy do usunięcia:</w:t>
            </w:r>
          </w:p>
          <w:p w:rsidR="0000249C" w:rsidRPr="00D40888" w:rsidRDefault="0000249C" w:rsidP="0000249C">
            <w:pPr>
              <w:jc w:val="both"/>
              <w:rPr>
                <w:rFonts w:cstheme="minorHAnsi"/>
                <w:sz w:val="24"/>
                <w:szCs w:val="24"/>
              </w:rPr>
            </w:pPr>
            <w:r w:rsidRPr="00D40888">
              <w:rPr>
                <w:rFonts w:cstheme="minorHAnsi"/>
                <w:sz w:val="24"/>
                <w:szCs w:val="24"/>
              </w:rPr>
              <w:t>1. premiowanie inwestycji w miastach średnich (str.64),</w:t>
            </w:r>
          </w:p>
          <w:p w:rsidR="0000249C" w:rsidRPr="00D40888" w:rsidRDefault="0000249C" w:rsidP="0000249C">
            <w:pPr>
              <w:jc w:val="both"/>
              <w:rPr>
                <w:rFonts w:cstheme="minorHAnsi"/>
                <w:sz w:val="24"/>
                <w:szCs w:val="24"/>
              </w:rPr>
            </w:pPr>
            <w:r w:rsidRPr="00D40888">
              <w:rPr>
                <w:rFonts w:cstheme="minorHAnsi"/>
                <w:sz w:val="24"/>
                <w:szCs w:val="24"/>
              </w:rPr>
              <w:t>2. kierowanie działań adaptacyjnych do zmian klimatu do miast średnich i małych – (str.98),</w:t>
            </w:r>
          </w:p>
          <w:p w:rsidR="0000249C" w:rsidRPr="00D40888" w:rsidRDefault="0000249C" w:rsidP="0000249C">
            <w:pPr>
              <w:jc w:val="both"/>
              <w:rPr>
                <w:rFonts w:cstheme="minorHAnsi"/>
                <w:sz w:val="24"/>
                <w:szCs w:val="24"/>
              </w:rPr>
            </w:pPr>
            <w:r w:rsidRPr="00D40888">
              <w:rPr>
                <w:rFonts w:cstheme="minorHAnsi"/>
                <w:sz w:val="24"/>
                <w:szCs w:val="24"/>
              </w:rPr>
              <w:t xml:space="preserve">3. pierwszeństwo w dostępie do środków miast ujętych na imiennej liście 255 miast średnich (str. 103-104), </w:t>
            </w:r>
          </w:p>
          <w:p w:rsidR="0000249C" w:rsidRPr="00D40888" w:rsidRDefault="0000249C" w:rsidP="0000249C">
            <w:pPr>
              <w:pStyle w:val="Default"/>
              <w:jc w:val="both"/>
              <w:rPr>
                <w:rFonts w:asciiTheme="minorHAnsi" w:hAnsiTheme="minorHAnsi" w:cstheme="minorHAnsi"/>
              </w:rPr>
            </w:pPr>
            <w:r w:rsidRPr="00D40888">
              <w:rPr>
                <w:rFonts w:asciiTheme="minorHAnsi" w:hAnsiTheme="minorHAnsi" w:cstheme="minorHAnsi"/>
              </w:rPr>
              <w:t>4. B3.1.3. Zielona transformacja miast i obszarów funkcjonalnych</w:t>
            </w:r>
          </w:p>
          <w:p w:rsidR="0000249C" w:rsidRPr="00D40888" w:rsidRDefault="0000249C" w:rsidP="0000249C">
            <w:pPr>
              <w:jc w:val="both"/>
              <w:rPr>
                <w:rFonts w:cstheme="minorHAnsi"/>
                <w:sz w:val="24"/>
                <w:szCs w:val="24"/>
              </w:rPr>
            </w:pPr>
            <w:r w:rsidRPr="00D40888">
              <w:rPr>
                <w:rFonts w:cstheme="minorHAnsi"/>
                <w:sz w:val="24"/>
                <w:szCs w:val="24"/>
              </w:rPr>
              <w:t>„Planowana w ramach KPO interwencja kieruje wsparcie do miast średnich, wraz z ich obszarami funkcjonalnymi, w realizacji inwestycji pozwalających na adaptację do zmian klimatu oraz pozwalających na transformację klimatyczną”. (str. 120);</w:t>
            </w:r>
          </w:p>
          <w:p w:rsidR="0000249C" w:rsidRPr="00D40888" w:rsidRDefault="0000249C" w:rsidP="0000249C">
            <w:pPr>
              <w:jc w:val="both"/>
              <w:rPr>
                <w:rFonts w:cstheme="minorHAnsi"/>
                <w:sz w:val="24"/>
                <w:szCs w:val="24"/>
              </w:rPr>
            </w:pPr>
          </w:p>
          <w:p w:rsidR="0000249C" w:rsidRPr="00D40888" w:rsidRDefault="0000249C" w:rsidP="0000249C">
            <w:pPr>
              <w:jc w:val="both"/>
              <w:rPr>
                <w:rFonts w:cstheme="minorHAnsi"/>
                <w:sz w:val="24"/>
                <w:szCs w:val="24"/>
              </w:rPr>
            </w:pPr>
            <w:r>
              <w:rPr>
                <w:rFonts w:cstheme="minorHAnsi"/>
                <w:sz w:val="24"/>
                <w:szCs w:val="24"/>
              </w:rPr>
              <w:t>N</w:t>
            </w:r>
            <w:r w:rsidRPr="00D40888">
              <w:rPr>
                <w:rFonts w:cstheme="minorHAnsi"/>
                <w:sz w:val="24"/>
                <w:szCs w:val="24"/>
              </w:rPr>
              <w:t>ależy też wprowadzić możliwość wsparcia infrastruktury tramwajowej.</w:t>
            </w:r>
          </w:p>
        </w:tc>
        <w:tc>
          <w:tcPr>
            <w:tcW w:w="2432" w:type="pct"/>
          </w:tcPr>
          <w:p w:rsidR="0000249C" w:rsidRPr="00D40888" w:rsidRDefault="0000249C" w:rsidP="0000249C">
            <w:pPr>
              <w:jc w:val="both"/>
              <w:rPr>
                <w:rFonts w:cstheme="minorHAnsi"/>
                <w:sz w:val="24"/>
                <w:szCs w:val="24"/>
              </w:rPr>
            </w:pPr>
            <w:r w:rsidRPr="00D40888">
              <w:rPr>
                <w:rFonts w:cstheme="minorHAnsi"/>
                <w:sz w:val="24"/>
                <w:szCs w:val="24"/>
              </w:rPr>
              <w:t xml:space="preserve">W KPO nie uwzględniono potrzeb i potencjałów dużych miast. Zupełnie nieuzasadnione jest wykluczenie ich z dofinansowania na rozwój terenów zielonych i in. działań adaptacyjnych do zmian klimatu, podczas gdy potrzeby w tym zakresie są właśnie specyficzne dla dużych ośrodków miejskich. </w:t>
            </w:r>
          </w:p>
          <w:p w:rsidR="0000249C" w:rsidRPr="00D40888" w:rsidRDefault="0000249C" w:rsidP="0000249C">
            <w:pPr>
              <w:jc w:val="both"/>
              <w:rPr>
                <w:rFonts w:cstheme="minorHAnsi"/>
                <w:sz w:val="24"/>
                <w:szCs w:val="24"/>
              </w:rPr>
            </w:pPr>
            <w:r w:rsidRPr="00D40888">
              <w:rPr>
                <w:rFonts w:cstheme="minorHAnsi"/>
                <w:sz w:val="24"/>
                <w:szCs w:val="24"/>
              </w:rPr>
              <w:t>W trakcie zbierania fiszek potencjalnych projektów do KPO, samorządy miast złożyły projekty dot. inwestycji w infrastrukturę transportu szynowego, o wysokiej wiarygodności realizacyjnej. Ten typ projektu w ogóle nie został uwzględniony w KPO. Tymczasem należy promować ograniczanie komunikacji autobusowej w miastach (niezależnie od rodzaju napędu). Wymiana taboru autobusowego na zeroemisyjny sprzyja poprawie jakości powietrza, nie eliminuje jednak pyłów związanych ze ścieralnością opon oraz kongestii.</w:t>
            </w:r>
          </w:p>
        </w:tc>
      </w:tr>
      <w:tr w:rsidR="00C50A4A" w:rsidRPr="00D40888" w:rsidTr="00C50A4A">
        <w:trPr>
          <w:trHeight w:val="269"/>
        </w:trPr>
        <w:tc>
          <w:tcPr>
            <w:tcW w:w="180" w:type="pct"/>
          </w:tcPr>
          <w:p w:rsidR="00481606" w:rsidRPr="00D40888" w:rsidRDefault="004959B8" w:rsidP="00481606">
            <w:pPr>
              <w:jc w:val="both"/>
              <w:rPr>
                <w:rFonts w:cstheme="minorHAnsi"/>
                <w:sz w:val="24"/>
                <w:szCs w:val="24"/>
              </w:rPr>
            </w:pPr>
            <w:r>
              <w:rPr>
                <w:rFonts w:cstheme="minorHAnsi"/>
                <w:sz w:val="24"/>
                <w:szCs w:val="24"/>
              </w:rPr>
              <w:t>9</w:t>
            </w:r>
          </w:p>
        </w:tc>
        <w:tc>
          <w:tcPr>
            <w:tcW w:w="361" w:type="pct"/>
          </w:tcPr>
          <w:p w:rsidR="00481606" w:rsidRPr="00D40888" w:rsidRDefault="00481606" w:rsidP="00481606">
            <w:pPr>
              <w:jc w:val="both"/>
              <w:rPr>
                <w:rFonts w:cstheme="minorHAnsi"/>
                <w:sz w:val="24"/>
                <w:szCs w:val="24"/>
              </w:rPr>
            </w:pPr>
            <w:r w:rsidRPr="00D40888">
              <w:rPr>
                <w:rFonts w:cstheme="minorHAnsi"/>
                <w:sz w:val="24"/>
                <w:szCs w:val="24"/>
              </w:rPr>
              <w:t>ogólna</w:t>
            </w:r>
          </w:p>
        </w:tc>
        <w:tc>
          <w:tcPr>
            <w:tcW w:w="2027" w:type="pct"/>
          </w:tcPr>
          <w:p w:rsidR="00481606" w:rsidRPr="00D40888" w:rsidRDefault="00481606" w:rsidP="00481606">
            <w:pPr>
              <w:jc w:val="both"/>
              <w:rPr>
                <w:rFonts w:cstheme="minorHAnsi"/>
                <w:sz w:val="24"/>
                <w:szCs w:val="24"/>
              </w:rPr>
            </w:pPr>
            <w:r w:rsidRPr="00D40888">
              <w:rPr>
                <w:rFonts w:cstheme="minorHAnsi"/>
                <w:sz w:val="24"/>
                <w:szCs w:val="24"/>
              </w:rPr>
              <w:t>Nadmierna centralizacja środków i decyzyjności - wsparcie realizacji SOR, celów politycznych, instytucji państwowych, finansowanie i refinansowanie doty</w:t>
            </w:r>
            <w:r>
              <w:rPr>
                <w:rFonts w:cstheme="minorHAnsi"/>
                <w:sz w:val="24"/>
                <w:szCs w:val="24"/>
              </w:rPr>
              <w:t>chczasowych programów rządowych (np. Czyste Powietrze, Maluch).</w:t>
            </w:r>
          </w:p>
        </w:tc>
        <w:tc>
          <w:tcPr>
            <w:tcW w:w="2432" w:type="pct"/>
          </w:tcPr>
          <w:p w:rsidR="00481606" w:rsidRPr="00D40888" w:rsidRDefault="00481606" w:rsidP="00481606">
            <w:pPr>
              <w:jc w:val="both"/>
              <w:rPr>
                <w:rFonts w:cstheme="minorHAnsi"/>
                <w:sz w:val="24"/>
                <w:szCs w:val="24"/>
              </w:rPr>
            </w:pPr>
            <w:r w:rsidRPr="00D40888">
              <w:rPr>
                <w:rFonts w:cstheme="minorHAnsi"/>
                <w:sz w:val="24"/>
                <w:szCs w:val="24"/>
              </w:rPr>
              <w:t>Przeważająca część środków skierowana ma być na centralizację różnych dziedzin gospodarki, jak również na działania realizowane przez Spółki Skarbu Państwa i podmioty, nad którymi nadzór sprawować będą poszczególne Ministerstwa.</w:t>
            </w:r>
          </w:p>
          <w:p w:rsidR="00481606" w:rsidRPr="00D40888" w:rsidRDefault="00481606" w:rsidP="00481606">
            <w:pPr>
              <w:jc w:val="both"/>
              <w:rPr>
                <w:rFonts w:cstheme="minorHAnsi"/>
                <w:sz w:val="24"/>
                <w:szCs w:val="24"/>
              </w:rPr>
            </w:pPr>
            <w:r w:rsidRPr="00D40888">
              <w:rPr>
                <w:rFonts w:cstheme="minorHAnsi"/>
                <w:sz w:val="24"/>
                <w:szCs w:val="24"/>
              </w:rPr>
              <w:t>Indywidualni przedsiębiorcy tracą swoje firmy, podczas gdy KPO przewiduje wiele działań dotyczą</w:t>
            </w:r>
            <w:r w:rsidR="00B93D0B">
              <w:rPr>
                <w:rFonts w:cstheme="minorHAnsi"/>
                <w:sz w:val="24"/>
                <w:szCs w:val="24"/>
              </w:rPr>
              <w:t>cych centralizacji istniejących</w:t>
            </w:r>
            <w:r w:rsidRPr="00D40888">
              <w:rPr>
                <w:rFonts w:cstheme="minorHAnsi"/>
                <w:sz w:val="24"/>
                <w:szCs w:val="24"/>
              </w:rPr>
              <w:t xml:space="preserve"> lub tworzenia nowych podmiotów. W  KPO pojawiły się zapisy dotyczące:</w:t>
            </w:r>
          </w:p>
          <w:p w:rsidR="00481606" w:rsidRPr="00D40888" w:rsidRDefault="00481606" w:rsidP="00481606">
            <w:pPr>
              <w:pStyle w:val="Akapitzlist"/>
              <w:numPr>
                <w:ilvl w:val="0"/>
                <w:numId w:val="1"/>
              </w:numPr>
              <w:jc w:val="both"/>
              <w:rPr>
                <w:rFonts w:cstheme="minorHAnsi"/>
                <w:sz w:val="24"/>
                <w:szCs w:val="24"/>
              </w:rPr>
            </w:pPr>
            <w:r w:rsidRPr="00D40888">
              <w:rPr>
                <w:rFonts w:cstheme="minorHAnsi"/>
                <w:sz w:val="24"/>
                <w:szCs w:val="24"/>
              </w:rPr>
              <w:t xml:space="preserve">Transformacji strukturalnej w obszarach kluczowych dla rozwoju polskiej gospodarki (str.66), gdzie zapisano cyt.: </w:t>
            </w:r>
            <w:r w:rsidRPr="00D40888">
              <w:rPr>
                <w:rFonts w:cstheme="minorHAnsi"/>
                <w:i/>
                <w:sz w:val="24"/>
                <w:szCs w:val="24"/>
              </w:rPr>
              <w:t xml:space="preserve">„Szczególne znaczenie w tym </w:t>
            </w:r>
            <w:r w:rsidRPr="00D40888">
              <w:rPr>
                <w:rFonts w:cstheme="minorHAnsi"/>
                <w:i/>
                <w:sz w:val="24"/>
                <w:szCs w:val="24"/>
              </w:rPr>
              <w:lastRenderedPageBreak/>
              <w:t xml:space="preserve">zakresie ma wykorzystanie dużych firm, w szczególności </w:t>
            </w:r>
            <w:r w:rsidRPr="00D40888">
              <w:rPr>
                <w:rFonts w:cstheme="minorHAnsi"/>
                <w:b/>
                <w:i/>
                <w:sz w:val="24"/>
                <w:szCs w:val="24"/>
                <w:u w:val="single"/>
              </w:rPr>
              <w:t>Spółek Skarbu Państwa</w:t>
            </w:r>
            <w:r w:rsidRPr="00D40888">
              <w:rPr>
                <w:rFonts w:cstheme="minorHAnsi"/>
                <w:b/>
                <w:i/>
                <w:sz w:val="24"/>
                <w:szCs w:val="24"/>
              </w:rPr>
              <w:t>”.</w:t>
            </w:r>
          </w:p>
          <w:p w:rsidR="00481606" w:rsidRPr="00D40888" w:rsidRDefault="00481606" w:rsidP="00481606">
            <w:pPr>
              <w:pStyle w:val="Akapitzlist"/>
              <w:numPr>
                <w:ilvl w:val="0"/>
                <w:numId w:val="1"/>
              </w:numPr>
              <w:jc w:val="both"/>
              <w:rPr>
                <w:rFonts w:cstheme="minorHAnsi"/>
                <w:sz w:val="24"/>
                <w:szCs w:val="24"/>
              </w:rPr>
            </w:pPr>
            <w:r w:rsidRPr="00D40888">
              <w:rPr>
                <w:rFonts w:cstheme="minorHAnsi"/>
                <w:sz w:val="24"/>
                <w:szCs w:val="24"/>
              </w:rPr>
              <w:t>Innowacyjnych  rozwiązań w kulturze (str. 690) - gdzie ce</w:t>
            </w:r>
            <w:r w:rsidR="000E4B61">
              <w:rPr>
                <w:rFonts w:cstheme="minorHAnsi"/>
                <w:sz w:val="24"/>
                <w:szCs w:val="24"/>
              </w:rPr>
              <w:t xml:space="preserve">lem jest stworzenie „modelowego </w:t>
            </w:r>
            <w:r w:rsidR="000E4B61">
              <w:rPr>
                <w:rFonts w:cstheme="minorHAnsi"/>
                <w:b/>
                <w:sz w:val="24"/>
                <w:szCs w:val="24"/>
                <w:u w:val="single"/>
              </w:rPr>
              <w:t>centrum</w:t>
            </w:r>
            <w:r w:rsidR="000E4B61" w:rsidRPr="000E4B61">
              <w:rPr>
                <w:rFonts w:cstheme="minorHAnsi"/>
                <w:b/>
                <w:sz w:val="24"/>
                <w:szCs w:val="24"/>
              </w:rPr>
              <w:t xml:space="preserve"> </w:t>
            </w:r>
            <w:r w:rsidR="000E4B61">
              <w:rPr>
                <w:rFonts w:cstheme="minorHAnsi"/>
                <w:sz w:val="24"/>
                <w:szCs w:val="24"/>
              </w:rPr>
              <w:t xml:space="preserve">przemysłów </w:t>
            </w:r>
            <w:r w:rsidRPr="00D40888">
              <w:rPr>
                <w:rFonts w:cstheme="minorHAnsi"/>
                <w:sz w:val="24"/>
                <w:szCs w:val="24"/>
              </w:rPr>
              <w:t>kreatywnych”(podległego Ministerstwu Kultury i Dziedzictwa Narodowego) , a kwota na to przeznaczona to 95 mln euro (str.70).</w:t>
            </w:r>
          </w:p>
          <w:p w:rsidR="00481606" w:rsidRPr="00D40888" w:rsidRDefault="00481606" w:rsidP="00481606">
            <w:pPr>
              <w:pStyle w:val="Akapitzlist"/>
              <w:numPr>
                <w:ilvl w:val="0"/>
                <w:numId w:val="1"/>
              </w:numPr>
              <w:jc w:val="both"/>
              <w:rPr>
                <w:rFonts w:cstheme="minorHAnsi"/>
                <w:sz w:val="24"/>
                <w:szCs w:val="24"/>
              </w:rPr>
            </w:pPr>
            <w:r w:rsidRPr="00D40888">
              <w:rPr>
                <w:rFonts w:cstheme="minorHAnsi"/>
                <w:sz w:val="24"/>
                <w:szCs w:val="24"/>
              </w:rPr>
              <w:t xml:space="preserve">Uznanie mobilności bezzałogowej (bezzałogowych statków powietrznych), za jeden z celów na który przeznacza się 164 mln euro (str. 70-71, 83). Bezzałogowe statki powietrzne  mają służyć </w:t>
            </w:r>
            <w:r w:rsidRPr="00D40888">
              <w:rPr>
                <w:rFonts w:cstheme="minorHAnsi"/>
                <w:b/>
                <w:sz w:val="24"/>
                <w:szCs w:val="24"/>
              </w:rPr>
              <w:t>służbom porządku publicznego</w:t>
            </w:r>
            <w:r w:rsidRPr="00D40888">
              <w:rPr>
                <w:rFonts w:cstheme="minorHAnsi"/>
                <w:sz w:val="24"/>
                <w:szCs w:val="24"/>
              </w:rPr>
              <w:t>.</w:t>
            </w:r>
          </w:p>
          <w:p w:rsidR="00481606" w:rsidRPr="00D40888" w:rsidRDefault="00481606" w:rsidP="00481606">
            <w:pPr>
              <w:pStyle w:val="Akapitzlist"/>
              <w:numPr>
                <w:ilvl w:val="0"/>
                <w:numId w:val="1"/>
              </w:numPr>
              <w:jc w:val="both"/>
              <w:rPr>
                <w:rFonts w:cstheme="minorHAnsi"/>
                <w:sz w:val="24"/>
                <w:szCs w:val="24"/>
              </w:rPr>
            </w:pPr>
            <w:r w:rsidRPr="00D40888">
              <w:rPr>
                <w:rFonts w:cstheme="minorHAnsi"/>
                <w:sz w:val="24"/>
                <w:szCs w:val="24"/>
              </w:rPr>
              <w:t xml:space="preserve">Wzmacniania potencjału sektora nauki, poprzez utworzenie Sieci Badawczej Łukaszewicz </w:t>
            </w:r>
            <w:r w:rsidRPr="00D40888">
              <w:rPr>
                <w:rFonts w:cstheme="minorHAnsi"/>
                <w:b/>
                <w:sz w:val="24"/>
                <w:szCs w:val="24"/>
              </w:rPr>
              <w:t>zrzeszającej</w:t>
            </w:r>
            <w:r w:rsidRPr="00D40888">
              <w:rPr>
                <w:rFonts w:cstheme="minorHAnsi"/>
                <w:sz w:val="24"/>
                <w:szCs w:val="24"/>
              </w:rPr>
              <w:t xml:space="preserve"> 32 instytuty badawcze, oraz rozwoju „narodowego systemu innowacji” (str. 87), i zarządzanie własnością intelektualną oraz infrastrukturą badawczą w ramach „Sieci Badawczej Łukasiewicz”. </w:t>
            </w:r>
          </w:p>
          <w:p w:rsidR="00481606" w:rsidRPr="00D40888" w:rsidRDefault="00481606" w:rsidP="00481606">
            <w:pPr>
              <w:pStyle w:val="Akapitzlist"/>
              <w:numPr>
                <w:ilvl w:val="0"/>
                <w:numId w:val="1"/>
              </w:numPr>
              <w:jc w:val="both"/>
              <w:rPr>
                <w:rFonts w:cstheme="minorHAnsi"/>
                <w:sz w:val="24"/>
                <w:szCs w:val="24"/>
              </w:rPr>
            </w:pPr>
            <w:r w:rsidRPr="00D40888">
              <w:rPr>
                <w:rFonts w:cstheme="minorHAnsi"/>
                <w:sz w:val="24"/>
                <w:szCs w:val="24"/>
              </w:rPr>
              <w:t xml:space="preserve">Budowy potencjału w sektorze żywnościowym (str. 73), - realizacja inwestycji dot. instytucji i </w:t>
            </w:r>
            <w:r w:rsidRPr="00D40888">
              <w:rPr>
                <w:rFonts w:cstheme="minorHAnsi"/>
                <w:b/>
                <w:sz w:val="24"/>
                <w:szCs w:val="24"/>
                <w:u w:val="single"/>
              </w:rPr>
              <w:t>spółek z udziałem Skarbu Państwa</w:t>
            </w:r>
            <w:r w:rsidRPr="00D40888">
              <w:rPr>
                <w:rFonts w:cstheme="minorHAnsi"/>
                <w:sz w:val="24"/>
                <w:szCs w:val="24"/>
              </w:rPr>
              <w:t xml:space="preserve"> (str. 73).</w:t>
            </w:r>
          </w:p>
          <w:p w:rsidR="00481606" w:rsidRPr="00D40888" w:rsidRDefault="00481606" w:rsidP="00481606">
            <w:pPr>
              <w:pStyle w:val="Akapitzlist"/>
              <w:numPr>
                <w:ilvl w:val="0"/>
                <w:numId w:val="1"/>
              </w:numPr>
              <w:jc w:val="both"/>
              <w:rPr>
                <w:rFonts w:cstheme="minorHAnsi"/>
                <w:sz w:val="24"/>
                <w:szCs w:val="24"/>
              </w:rPr>
            </w:pPr>
            <w:r w:rsidRPr="00D40888">
              <w:rPr>
                <w:rFonts w:cstheme="minorHAnsi"/>
                <w:sz w:val="24"/>
                <w:szCs w:val="24"/>
              </w:rPr>
              <w:t xml:space="preserve">Wsparcia rozwoju nowoczesnego kształcenia zawodowego i szkolnictwa wyższego, poprzez </w:t>
            </w:r>
            <w:r w:rsidRPr="00D40888">
              <w:rPr>
                <w:rFonts w:cstheme="minorHAnsi"/>
                <w:i/>
                <w:sz w:val="24"/>
                <w:szCs w:val="24"/>
              </w:rPr>
              <w:t xml:space="preserve">„tworzenie 120 branżowych </w:t>
            </w:r>
            <w:r w:rsidRPr="00D40888">
              <w:rPr>
                <w:rFonts w:cstheme="minorHAnsi"/>
                <w:b/>
                <w:i/>
                <w:sz w:val="24"/>
                <w:szCs w:val="24"/>
                <w:u w:val="single"/>
              </w:rPr>
              <w:t>centrów</w:t>
            </w:r>
            <w:r w:rsidRPr="00D40888">
              <w:rPr>
                <w:rFonts w:cstheme="minorHAnsi"/>
                <w:i/>
                <w:sz w:val="24"/>
                <w:szCs w:val="24"/>
              </w:rPr>
              <w:t xml:space="preserve"> umiejętności, realizujących koncepcję </w:t>
            </w:r>
            <w:r w:rsidRPr="00D40888">
              <w:rPr>
                <w:rFonts w:cstheme="minorHAnsi"/>
                <w:i/>
                <w:sz w:val="24"/>
                <w:szCs w:val="24"/>
                <w:u w:val="single"/>
              </w:rPr>
              <w:t xml:space="preserve">centrów </w:t>
            </w:r>
            <w:r w:rsidRPr="00D40888">
              <w:rPr>
                <w:rFonts w:cstheme="minorHAnsi"/>
                <w:i/>
                <w:sz w:val="24"/>
                <w:szCs w:val="24"/>
              </w:rPr>
              <w:t>doskonałości zawodowej”, „</w:t>
            </w:r>
            <w:r w:rsidRPr="00D40888">
              <w:rPr>
                <w:rFonts w:cstheme="minorHAnsi"/>
                <w:b/>
                <w:i/>
                <w:sz w:val="24"/>
                <w:szCs w:val="24"/>
                <w:u w:val="single"/>
              </w:rPr>
              <w:t>centrum</w:t>
            </w:r>
            <w:r w:rsidRPr="00D40888">
              <w:rPr>
                <w:rFonts w:cstheme="minorHAnsi"/>
                <w:b/>
                <w:i/>
                <w:sz w:val="24"/>
                <w:szCs w:val="24"/>
              </w:rPr>
              <w:t xml:space="preserve"> </w:t>
            </w:r>
            <w:r w:rsidRPr="00D40888">
              <w:rPr>
                <w:rFonts w:cstheme="minorHAnsi"/>
                <w:i/>
                <w:sz w:val="24"/>
                <w:szCs w:val="24"/>
              </w:rPr>
              <w:t>doradztwa i poradnictwa zawodowego</w:t>
            </w:r>
            <w:r w:rsidRPr="00D40888">
              <w:rPr>
                <w:rFonts w:cstheme="minorHAnsi"/>
                <w:sz w:val="24"/>
                <w:szCs w:val="24"/>
              </w:rPr>
              <w:t>”,  czy „koordynację działań w regionach…” (str.76). Na te cele przeznaczono 543 mln euro (str.77).</w:t>
            </w:r>
          </w:p>
          <w:p w:rsidR="00481606" w:rsidRPr="00D40888" w:rsidRDefault="00481606" w:rsidP="00481606">
            <w:pPr>
              <w:pStyle w:val="Akapitzlist"/>
              <w:numPr>
                <w:ilvl w:val="0"/>
                <w:numId w:val="1"/>
              </w:numPr>
              <w:jc w:val="both"/>
              <w:rPr>
                <w:rFonts w:cstheme="minorHAnsi"/>
                <w:sz w:val="24"/>
                <w:szCs w:val="24"/>
              </w:rPr>
            </w:pPr>
            <w:r w:rsidRPr="00D40888">
              <w:rPr>
                <w:rFonts w:cstheme="minorHAnsi"/>
                <w:sz w:val="24"/>
                <w:szCs w:val="24"/>
              </w:rPr>
              <w:t xml:space="preserve">Doposażania pracowników/przedsiębiorstw umożliwiającego pracę zdalną, gdzie z łącznej kwoty 44 mln euro (str.78), </w:t>
            </w:r>
            <w:r w:rsidRPr="00D40888">
              <w:rPr>
                <w:rFonts w:cstheme="minorHAnsi"/>
                <w:b/>
                <w:sz w:val="24"/>
                <w:szCs w:val="24"/>
              </w:rPr>
              <w:t>aż 50% wsparcia przewidywane jest na doradztwo i szkolenia,</w:t>
            </w:r>
            <w:r w:rsidRPr="00D40888">
              <w:rPr>
                <w:rFonts w:cstheme="minorHAnsi"/>
                <w:sz w:val="24"/>
                <w:szCs w:val="24"/>
              </w:rPr>
              <w:t xml:space="preserve"> jedynie 50% wsparcia na oprogramowania i licencje, i 0% na wyposażenie w niezbędny sprzęt służący pracy zdalnej (str.77).</w:t>
            </w:r>
          </w:p>
          <w:p w:rsidR="00481606" w:rsidRPr="00D40888" w:rsidRDefault="00481606" w:rsidP="00481606">
            <w:pPr>
              <w:pStyle w:val="Akapitzlist"/>
              <w:numPr>
                <w:ilvl w:val="0"/>
                <w:numId w:val="1"/>
              </w:numPr>
              <w:jc w:val="both"/>
              <w:rPr>
                <w:rFonts w:cstheme="minorHAnsi"/>
                <w:sz w:val="24"/>
                <w:szCs w:val="24"/>
              </w:rPr>
            </w:pPr>
            <w:r w:rsidRPr="00D40888">
              <w:rPr>
                <w:rFonts w:cstheme="minorHAnsi"/>
                <w:sz w:val="24"/>
                <w:szCs w:val="24"/>
              </w:rPr>
              <w:t xml:space="preserve">Efektywnych instytucji na rzecz rynku pracy, gdzie przewiduje się stworzenie jednego </w:t>
            </w:r>
            <w:r w:rsidRPr="00D40888">
              <w:rPr>
                <w:rFonts w:cstheme="minorHAnsi"/>
                <w:b/>
                <w:sz w:val="24"/>
                <w:szCs w:val="24"/>
                <w:u w:val="single"/>
              </w:rPr>
              <w:t>centralnie zarządzanego</w:t>
            </w:r>
            <w:r w:rsidRPr="00D40888">
              <w:rPr>
                <w:rFonts w:cstheme="minorHAnsi"/>
                <w:sz w:val="24"/>
                <w:szCs w:val="24"/>
              </w:rPr>
              <w:t xml:space="preserve"> (przez ministra właściwego ds. rodziny) systemu wspierania instytucji opieki nad dziećmi w wieku do 3 lat integrującego różne źródła dofinansowania (str.79).</w:t>
            </w:r>
          </w:p>
          <w:p w:rsidR="00481606" w:rsidRPr="00D40888" w:rsidRDefault="00481606" w:rsidP="00481606">
            <w:pPr>
              <w:pStyle w:val="Akapitzlist"/>
              <w:numPr>
                <w:ilvl w:val="0"/>
                <w:numId w:val="1"/>
              </w:numPr>
              <w:jc w:val="both"/>
              <w:rPr>
                <w:rFonts w:cstheme="minorHAnsi"/>
                <w:sz w:val="24"/>
                <w:szCs w:val="24"/>
              </w:rPr>
            </w:pPr>
            <w:r w:rsidRPr="00D40888">
              <w:rPr>
                <w:rFonts w:cstheme="minorHAnsi"/>
                <w:sz w:val="24"/>
                <w:szCs w:val="24"/>
              </w:rPr>
              <w:t>Rozwoju inteligentnej infrastruktury elektroenergetycznej poprzez rozwój morskiej energetyki wiatrowej, z uwzględnieniem stworzenia odpowiedniego zaplecza portowego - str. 112-113 (koszt 437 mln euro).</w:t>
            </w:r>
          </w:p>
          <w:p w:rsidR="00481606" w:rsidRPr="00D40888" w:rsidRDefault="00481606" w:rsidP="00481606">
            <w:pPr>
              <w:pStyle w:val="Akapitzlist"/>
              <w:numPr>
                <w:ilvl w:val="0"/>
                <w:numId w:val="1"/>
              </w:numPr>
              <w:jc w:val="both"/>
              <w:rPr>
                <w:rFonts w:cstheme="minorHAnsi"/>
                <w:sz w:val="24"/>
                <w:szCs w:val="24"/>
              </w:rPr>
            </w:pPr>
            <w:r w:rsidRPr="00D40888">
              <w:rPr>
                <w:rFonts w:cstheme="minorHAnsi"/>
                <w:sz w:val="24"/>
                <w:szCs w:val="24"/>
              </w:rPr>
              <w:t xml:space="preserve">Oceny stanu środowiska wielkoobszarowych terenów zdegradowanych </w:t>
            </w:r>
            <w:r w:rsidRPr="00D40888">
              <w:rPr>
                <w:rFonts w:cstheme="minorHAnsi"/>
                <w:sz w:val="24"/>
                <w:szCs w:val="24"/>
              </w:rPr>
              <w:lastRenderedPageBreak/>
              <w:t xml:space="preserve">oraz zinwentaryzowania potrzeb w zakresie naprawy stanu środowiska, warunkowanej </w:t>
            </w:r>
            <w:r w:rsidRPr="00D40888">
              <w:rPr>
                <w:rFonts w:cstheme="minorHAnsi"/>
                <w:b/>
                <w:sz w:val="24"/>
                <w:szCs w:val="24"/>
                <w:u w:val="single"/>
              </w:rPr>
              <w:t>przejęciem nieruchomości</w:t>
            </w:r>
            <w:r w:rsidRPr="00D40888">
              <w:rPr>
                <w:rFonts w:cstheme="minorHAnsi"/>
                <w:sz w:val="24"/>
                <w:szCs w:val="24"/>
              </w:rPr>
              <w:t xml:space="preserve"> na podstawie planowanych przepisów specustawy przez wskazany w tej ust</w:t>
            </w:r>
            <w:r>
              <w:rPr>
                <w:rFonts w:cstheme="minorHAnsi"/>
                <w:sz w:val="24"/>
                <w:szCs w:val="24"/>
              </w:rPr>
              <w:t xml:space="preserve">awie organ administracji (?) </w:t>
            </w:r>
            <w:r w:rsidRPr="00D40888">
              <w:rPr>
                <w:rFonts w:cstheme="minorHAnsi"/>
                <w:sz w:val="24"/>
                <w:szCs w:val="24"/>
              </w:rPr>
              <w:t>- str. 116.</w:t>
            </w:r>
          </w:p>
          <w:p w:rsidR="00481606" w:rsidRPr="00D40888" w:rsidRDefault="00481606" w:rsidP="00481606">
            <w:pPr>
              <w:pStyle w:val="Akapitzlist"/>
              <w:numPr>
                <w:ilvl w:val="0"/>
                <w:numId w:val="1"/>
              </w:numPr>
              <w:jc w:val="both"/>
              <w:rPr>
                <w:rFonts w:cstheme="minorHAnsi"/>
                <w:sz w:val="24"/>
                <w:szCs w:val="24"/>
              </w:rPr>
            </w:pPr>
            <w:r w:rsidRPr="00D40888">
              <w:rPr>
                <w:rFonts w:cstheme="minorHAnsi"/>
                <w:sz w:val="24"/>
                <w:szCs w:val="24"/>
              </w:rPr>
              <w:t xml:space="preserve">Telekomunikacji- bezpośrednie wsparcie skierowane zostanie  również do </w:t>
            </w:r>
            <w:r w:rsidRPr="00D40888">
              <w:rPr>
                <w:rFonts w:cstheme="minorHAnsi"/>
                <w:b/>
                <w:sz w:val="24"/>
                <w:szCs w:val="24"/>
                <w:u w:val="single"/>
              </w:rPr>
              <w:t>państwowych instytutów badawczych oraz urzędów centralnych organów administracji rządowej</w:t>
            </w:r>
            <w:r w:rsidRPr="00D40888">
              <w:rPr>
                <w:rFonts w:cstheme="minorHAnsi"/>
                <w:sz w:val="24"/>
                <w:szCs w:val="24"/>
              </w:rPr>
              <w:t xml:space="preserve"> (str.142) . Koszty</w:t>
            </w:r>
            <w:r>
              <w:rPr>
                <w:rFonts w:cstheme="minorHAnsi"/>
                <w:sz w:val="24"/>
                <w:szCs w:val="24"/>
              </w:rPr>
              <w:t xml:space="preserve"> </w:t>
            </w:r>
            <w:r w:rsidRPr="00D40888">
              <w:rPr>
                <w:rFonts w:cstheme="minorHAnsi"/>
                <w:sz w:val="24"/>
                <w:szCs w:val="24"/>
              </w:rPr>
              <w:t>1.400 mln euro.</w:t>
            </w:r>
          </w:p>
          <w:p w:rsidR="00481606" w:rsidRPr="00D40888" w:rsidRDefault="00481606" w:rsidP="00481606">
            <w:pPr>
              <w:pStyle w:val="Akapitzlist"/>
              <w:numPr>
                <w:ilvl w:val="0"/>
                <w:numId w:val="1"/>
              </w:numPr>
              <w:jc w:val="both"/>
              <w:rPr>
                <w:rFonts w:cstheme="minorHAnsi"/>
                <w:sz w:val="24"/>
                <w:szCs w:val="24"/>
              </w:rPr>
            </w:pPr>
            <w:r w:rsidRPr="00D40888">
              <w:rPr>
                <w:rFonts w:cstheme="minorHAnsi"/>
                <w:sz w:val="24"/>
                <w:szCs w:val="24"/>
              </w:rPr>
              <w:t xml:space="preserve">Świadczeń zdrowotnych, gdzie przewidywane są </w:t>
            </w:r>
            <w:r w:rsidRPr="00D40888">
              <w:rPr>
                <w:rFonts w:cstheme="minorHAnsi"/>
                <w:b/>
                <w:sz w:val="24"/>
                <w:szCs w:val="24"/>
              </w:rPr>
              <w:t>konsolidacje podmiotów leczniczych,</w:t>
            </w:r>
            <w:r w:rsidRPr="00D40888">
              <w:rPr>
                <w:rFonts w:cstheme="minorHAnsi"/>
                <w:sz w:val="24"/>
                <w:szCs w:val="24"/>
              </w:rPr>
              <w:t xml:space="preserve"> stworzenie „Narodowej Strategii Onkologicznej” i „Narodowego Programu Ochrony Zdrowia” (str. 175).</w:t>
            </w:r>
          </w:p>
          <w:p w:rsidR="00481606" w:rsidRDefault="00481606" w:rsidP="00481606">
            <w:pPr>
              <w:pStyle w:val="Akapitzlist"/>
              <w:numPr>
                <w:ilvl w:val="0"/>
                <w:numId w:val="1"/>
              </w:numPr>
              <w:jc w:val="both"/>
              <w:rPr>
                <w:rFonts w:cstheme="minorHAnsi"/>
                <w:sz w:val="24"/>
                <w:szCs w:val="24"/>
              </w:rPr>
            </w:pPr>
            <w:r w:rsidRPr="00D40888">
              <w:rPr>
                <w:rFonts w:cstheme="minorHAnsi"/>
                <w:sz w:val="24"/>
                <w:szCs w:val="24"/>
              </w:rPr>
              <w:t>Kompleksowego rozwoju badań w dziedzinie nauk med</w:t>
            </w:r>
            <w:r>
              <w:rPr>
                <w:rFonts w:cstheme="minorHAnsi"/>
                <w:sz w:val="24"/>
                <w:szCs w:val="24"/>
              </w:rPr>
              <w:t>ycznych i nauk o zdrowiu -</w:t>
            </w:r>
            <w:r w:rsidRPr="00D40888">
              <w:rPr>
                <w:rFonts w:cstheme="minorHAnsi"/>
                <w:sz w:val="24"/>
                <w:szCs w:val="24"/>
              </w:rPr>
              <w:t xml:space="preserve">przewiduje się budowę </w:t>
            </w:r>
            <w:r w:rsidRPr="00D40888">
              <w:rPr>
                <w:rFonts w:cstheme="minorHAnsi"/>
                <w:b/>
                <w:sz w:val="24"/>
                <w:szCs w:val="24"/>
                <w:u w:val="single"/>
              </w:rPr>
              <w:t>Centrum Badawczo-Analitycznego</w:t>
            </w:r>
            <w:r w:rsidRPr="00D40888">
              <w:rPr>
                <w:rFonts w:cstheme="minorHAnsi"/>
                <w:sz w:val="24"/>
                <w:szCs w:val="24"/>
              </w:rPr>
              <w:t xml:space="preserve">  (str. 185).</w:t>
            </w:r>
          </w:p>
          <w:p w:rsidR="006919C3" w:rsidRPr="00D40888" w:rsidRDefault="006919C3" w:rsidP="006919C3">
            <w:pPr>
              <w:pStyle w:val="Akapitzlist"/>
              <w:ind w:left="360"/>
              <w:jc w:val="both"/>
              <w:rPr>
                <w:rFonts w:cstheme="minorHAnsi"/>
                <w:sz w:val="24"/>
                <w:szCs w:val="24"/>
              </w:rPr>
            </w:pPr>
          </w:p>
        </w:tc>
      </w:tr>
      <w:tr w:rsidR="00C50A4A" w:rsidRPr="00D40888" w:rsidTr="00C50A4A">
        <w:trPr>
          <w:trHeight w:val="269"/>
        </w:trPr>
        <w:tc>
          <w:tcPr>
            <w:tcW w:w="180" w:type="pct"/>
          </w:tcPr>
          <w:p w:rsidR="00481606" w:rsidRPr="00D40888" w:rsidRDefault="004959B8" w:rsidP="00481606">
            <w:pPr>
              <w:jc w:val="both"/>
              <w:rPr>
                <w:rFonts w:cstheme="minorHAnsi"/>
                <w:sz w:val="24"/>
                <w:szCs w:val="24"/>
              </w:rPr>
            </w:pPr>
            <w:r>
              <w:rPr>
                <w:rFonts w:cstheme="minorHAnsi"/>
                <w:sz w:val="24"/>
                <w:szCs w:val="24"/>
              </w:rPr>
              <w:lastRenderedPageBreak/>
              <w:t>10</w:t>
            </w:r>
          </w:p>
        </w:tc>
        <w:tc>
          <w:tcPr>
            <w:tcW w:w="361" w:type="pct"/>
          </w:tcPr>
          <w:p w:rsidR="00481606" w:rsidRPr="00D40888" w:rsidRDefault="00481606" w:rsidP="00481606">
            <w:pPr>
              <w:jc w:val="both"/>
              <w:rPr>
                <w:rFonts w:cstheme="minorHAnsi"/>
                <w:sz w:val="24"/>
                <w:szCs w:val="24"/>
              </w:rPr>
            </w:pPr>
            <w:r>
              <w:rPr>
                <w:rFonts w:cstheme="minorHAnsi"/>
                <w:sz w:val="24"/>
                <w:szCs w:val="24"/>
              </w:rPr>
              <w:t>ogólna</w:t>
            </w:r>
          </w:p>
        </w:tc>
        <w:tc>
          <w:tcPr>
            <w:tcW w:w="2027" w:type="pct"/>
          </w:tcPr>
          <w:p w:rsidR="00481606" w:rsidRPr="00D40888" w:rsidRDefault="00481606" w:rsidP="00B93D0B">
            <w:pPr>
              <w:jc w:val="both"/>
              <w:rPr>
                <w:rFonts w:cstheme="minorHAnsi"/>
                <w:sz w:val="24"/>
                <w:szCs w:val="24"/>
              </w:rPr>
            </w:pPr>
            <w:r w:rsidRPr="00D40888">
              <w:rPr>
                <w:rFonts w:cstheme="minorHAnsi"/>
                <w:sz w:val="24"/>
                <w:szCs w:val="24"/>
              </w:rPr>
              <w:t xml:space="preserve">Wysokość środków przeznaczonych na OZE – </w:t>
            </w:r>
            <w:r w:rsidR="00B93D0B">
              <w:rPr>
                <w:rFonts w:cstheme="minorHAnsi"/>
                <w:sz w:val="24"/>
                <w:szCs w:val="24"/>
              </w:rPr>
              <w:t>zbyt niska</w:t>
            </w:r>
            <w:bookmarkStart w:id="0" w:name="_GoBack"/>
            <w:bookmarkEnd w:id="0"/>
            <w:r w:rsidRPr="00D40888">
              <w:rPr>
                <w:rFonts w:cstheme="minorHAnsi"/>
                <w:sz w:val="24"/>
                <w:szCs w:val="24"/>
              </w:rPr>
              <w:t xml:space="preserve"> na OZE w przedsiębiorstwach</w:t>
            </w:r>
            <w:r>
              <w:rPr>
                <w:rFonts w:cstheme="minorHAnsi"/>
                <w:sz w:val="24"/>
                <w:szCs w:val="24"/>
              </w:rPr>
              <w:t>.</w:t>
            </w:r>
          </w:p>
        </w:tc>
        <w:tc>
          <w:tcPr>
            <w:tcW w:w="2432" w:type="pct"/>
          </w:tcPr>
          <w:p w:rsidR="00481606" w:rsidRDefault="00481606" w:rsidP="00481606">
            <w:pPr>
              <w:jc w:val="both"/>
              <w:rPr>
                <w:rFonts w:cstheme="minorHAnsi"/>
                <w:sz w:val="24"/>
                <w:szCs w:val="24"/>
              </w:rPr>
            </w:pPr>
            <w:r w:rsidRPr="00D40888">
              <w:rPr>
                <w:rFonts w:cstheme="minorHAnsi"/>
                <w:sz w:val="24"/>
                <w:szCs w:val="24"/>
              </w:rPr>
              <w:t>W KPO są przeznaczone znaczne kwoty 3 201 mln euro (str. 105) na instalacje fotowoltaiczne dedykowane budynkom mieszkalnym i zaledwie 28 mln euro (str. 108) dedykowane efektywności energetycznej i OZE w przedsiębiorstwach.  Proponujemy zwiększenie puli środków na OZE w przedsiębiorstwach, z uwagi na fakt, że w czasie kiedy panele fotowoltaiczne produkują energię w budynkach mieszkalnych zużycie jest niewielkie, odwrotnie w przedsiębiorstwach.</w:t>
            </w:r>
          </w:p>
          <w:p w:rsidR="00481606" w:rsidRPr="00D40888" w:rsidRDefault="00481606" w:rsidP="00481606">
            <w:pPr>
              <w:jc w:val="both"/>
              <w:rPr>
                <w:rFonts w:cstheme="minorHAnsi"/>
                <w:sz w:val="24"/>
                <w:szCs w:val="24"/>
              </w:rPr>
            </w:pPr>
          </w:p>
        </w:tc>
      </w:tr>
      <w:tr w:rsidR="00C50A4A" w:rsidRPr="00D40888" w:rsidTr="00C50A4A">
        <w:trPr>
          <w:trHeight w:val="269"/>
        </w:trPr>
        <w:tc>
          <w:tcPr>
            <w:tcW w:w="180" w:type="pct"/>
          </w:tcPr>
          <w:p w:rsidR="00481606" w:rsidRPr="00D40888" w:rsidRDefault="004959B8" w:rsidP="00481606">
            <w:pPr>
              <w:jc w:val="both"/>
              <w:rPr>
                <w:rFonts w:cstheme="minorHAnsi"/>
                <w:sz w:val="24"/>
                <w:szCs w:val="24"/>
              </w:rPr>
            </w:pPr>
            <w:r>
              <w:rPr>
                <w:rFonts w:cstheme="minorHAnsi"/>
                <w:sz w:val="24"/>
                <w:szCs w:val="24"/>
              </w:rPr>
              <w:t>11</w:t>
            </w:r>
          </w:p>
        </w:tc>
        <w:tc>
          <w:tcPr>
            <w:tcW w:w="361" w:type="pct"/>
          </w:tcPr>
          <w:p w:rsidR="00481606" w:rsidRPr="00D40888" w:rsidRDefault="00481606" w:rsidP="00481606">
            <w:pPr>
              <w:jc w:val="both"/>
              <w:rPr>
                <w:rFonts w:cstheme="minorHAnsi"/>
                <w:sz w:val="24"/>
                <w:szCs w:val="24"/>
              </w:rPr>
            </w:pPr>
            <w:r>
              <w:rPr>
                <w:rFonts w:cstheme="minorHAnsi"/>
                <w:sz w:val="24"/>
                <w:szCs w:val="24"/>
              </w:rPr>
              <w:t xml:space="preserve">Str. </w:t>
            </w:r>
            <w:r w:rsidRPr="00D40888">
              <w:rPr>
                <w:rFonts w:cstheme="minorHAnsi"/>
                <w:sz w:val="24"/>
                <w:szCs w:val="24"/>
              </w:rPr>
              <w:t>24</w:t>
            </w:r>
          </w:p>
        </w:tc>
        <w:tc>
          <w:tcPr>
            <w:tcW w:w="2027" w:type="pct"/>
          </w:tcPr>
          <w:p w:rsidR="00481606" w:rsidRPr="00D40888" w:rsidRDefault="00481606" w:rsidP="00481606">
            <w:pPr>
              <w:jc w:val="both"/>
              <w:rPr>
                <w:rFonts w:cstheme="minorHAnsi"/>
                <w:sz w:val="24"/>
                <w:szCs w:val="24"/>
              </w:rPr>
            </w:pPr>
            <w:r w:rsidRPr="00D40888">
              <w:rPr>
                <w:rFonts w:cstheme="minorHAnsi"/>
                <w:sz w:val="24"/>
                <w:szCs w:val="24"/>
              </w:rPr>
              <w:t>Nierealność  założenia,  że do 2026 roku  cały obszar Polski zostanie pokryty planami</w:t>
            </w:r>
            <w:r>
              <w:rPr>
                <w:rFonts w:cstheme="minorHAnsi"/>
                <w:sz w:val="24"/>
                <w:szCs w:val="24"/>
              </w:rPr>
              <w:t xml:space="preserve"> ogólnymi.</w:t>
            </w:r>
          </w:p>
        </w:tc>
        <w:tc>
          <w:tcPr>
            <w:tcW w:w="2432" w:type="pct"/>
          </w:tcPr>
          <w:p w:rsidR="00481606" w:rsidRPr="00D40888" w:rsidRDefault="00481606" w:rsidP="00481606">
            <w:pPr>
              <w:pStyle w:val="Akapitzlist"/>
              <w:numPr>
                <w:ilvl w:val="0"/>
                <w:numId w:val="2"/>
              </w:numPr>
              <w:ind w:left="357" w:hanging="357"/>
              <w:contextualSpacing w:val="0"/>
              <w:jc w:val="both"/>
              <w:rPr>
                <w:rFonts w:eastAsia="Times New Roman" w:cstheme="minorHAnsi"/>
                <w:sz w:val="24"/>
                <w:szCs w:val="24"/>
                <w:lang w:eastAsia="pl-PL"/>
              </w:rPr>
            </w:pPr>
            <w:r w:rsidRPr="00D40888">
              <w:rPr>
                <w:rFonts w:eastAsia="Times New Roman" w:cstheme="minorHAnsi"/>
                <w:sz w:val="24"/>
                <w:szCs w:val="24"/>
                <w:lang w:eastAsia="pl-PL"/>
              </w:rPr>
              <w:t>Pomimo wieloletnich prac nad zmianą ustawy o planowaniu i zagospodarowaniu przestrzennym, nadal brak uregulowań prawnych dotyczących nowego systemu planowania.</w:t>
            </w:r>
          </w:p>
          <w:p w:rsidR="00481606" w:rsidRPr="00D40888" w:rsidRDefault="00481606" w:rsidP="00481606">
            <w:pPr>
              <w:pStyle w:val="Akapitzlist"/>
              <w:numPr>
                <w:ilvl w:val="0"/>
                <w:numId w:val="2"/>
              </w:numPr>
              <w:spacing w:before="100" w:beforeAutospacing="1" w:after="100" w:afterAutospacing="1"/>
              <w:jc w:val="both"/>
              <w:rPr>
                <w:rFonts w:eastAsia="Times New Roman" w:cstheme="minorHAnsi"/>
                <w:sz w:val="24"/>
                <w:szCs w:val="24"/>
                <w:lang w:eastAsia="pl-PL"/>
              </w:rPr>
            </w:pPr>
            <w:r w:rsidRPr="00D40888">
              <w:rPr>
                <w:rFonts w:eastAsia="Times New Roman" w:cstheme="minorHAnsi"/>
                <w:sz w:val="24"/>
                <w:szCs w:val="24"/>
                <w:lang w:eastAsia="pl-PL"/>
              </w:rPr>
              <w:t xml:space="preserve">Nawet przyjmując, </w:t>
            </w:r>
            <w:r w:rsidR="00DA06FC">
              <w:rPr>
                <w:rFonts w:eastAsia="Times New Roman" w:cstheme="minorHAnsi"/>
                <w:sz w:val="24"/>
                <w:szCs w:val="24"/>
                <w:lang w:eastAsia="pl-PL"/>
              </w:rPr>
              <w:t>że</w:t>
            </w:r>
            <w:r w:rsidRPr="00D40888">
              <w:rPr>
                <w:rFonts w:eastAsia="Times New Roman" w:cstheme="minorHAnsi"/>
                <w:sz w:val="24"/>
                <w:szCs w:val="24"/>
                <w:lang w:eastAsia="pl-PL"/>
              </w:rPr>
              <w:t xml:space="preserve"> nowa ustawa o planowaniu i zagospodarowaniu przestrzennym zostanie wprowadzona w I kwartale 2023 r. (str.87), to na opracowanie  planów ogólnych dla wszystkich gmin do  2026 r.  byłoby ok. 27 miesięcy.</w:t>
            </w:r>
          </w:p>
          <w:p w:rsidR="00481606" w:rsidRPr="00D40888" w:rsidRDefault="00481606" w:rsidP="00481606">
            <w:pPr>
              <w:pStyle w:val="Akapitzlist"/>
              <w:numPr>
                <w:ilvl w:val="0"/>
                <w:numId w:val="2"/>
              </w:numPr>
              <w:spacing w:before="100" w:beforeAutospacing="1" w:after="100" w:afterAutospacing="1"/>
              <w:jc w:val="both"/>
              <w:rPr>
                <w:rFonts w:eastAsia="Times New Roman" w:cstheme="minorHAnsi"/>
                <w:sz w:val="24"/>
                <w:szCs w:val="24"/>
                <w:lang w:eastAsia="pl-PL"/>
              </w:rPr>
            </w:pPr>
            <w:r w:rsidRPr="00D40888">
              <w:rPr>
                <w:rFonts w:eastAsia="Times New Roman" w:cstheme="minorHAnsi"/>
                <w:sz w:val="24"/>
                <w:szCs w:val="24"/>
                <w:lang w:eastAsia="pl-PL"/>
              </w:rPr>
              <w:t>Opracowania dotyczyłyby  2.350 gmin, byłyby skumulowane, podczas gdy brak na rynku pracy tylu specjalistów, którzy w tym samym czasie, w sposób rzetelny wykonaliby  opracowania pokrywające obszar całej Polski.</w:t>
            </w:r>
          </w:p>
          <w:p w:rsidR="00481606" w:rsidRPr="00D40888" w:rsidRDefault="00481606" w:rsidP="00481606">
            <w:pPr>
              <w:pStyle w:val="Akapitzlist"/>
              <w:numPr>
                <w:ilvl w:val="0"/>
                <w:numId w:val="2"/>
              </w:numPr>
              <w:spacing w:before="100" w:beforeAutospacing="1" w:after="100" w:afterAutospacing="1"/>
              <w:jc w:val="both"/>
              <w:rPr>
                <w:rFonts w:eastAsia="Times New Roman" w:cstheme="minorHAnsi"/>
                <w:sz w:val="24"/>
                <w:szCs w:val="24"/>
                <w:lang w:eastAsia="pl-PL"/>
              </w:rPr>
            </w:pPr>
            <w:r w:rsidRPr="00D40888">
              <w:rPr>
                <w:rFonts w:eastAsia="Times New Roman" w:cstheme="minorHAnsi"/>
                <w:sz w:val="24"/>
                <w:szCs w:val="24"/>
                <w:lang w:eastAsia="pl-PL"/>
              </w:rPr>
              <w:t xml:space="preserve">Rzetelne wykonanie planu ogólnego dla gminy wymaga zaangażowania nie tylko urbanisty, ale również wielu specjalistów z innych dziedzin , </w:t>
            </w:r>
            <w:r w:rsidRPr="00D40888">
              <w:rPr>
                <w:rFonts w:eastAsia="Times New Roman" w:cstheme="minorHAnsi"/>
                <w:sz w:val="24"/>
                <w:szCs w:val="24"/>
                <w:lang w:eastAsia="pl-PL"/>
              </w:rPr>
              <w:lastRenderedPageBreak/>
              <w:t xml:space="preserve">np.: transportu, uzbrojenia terenu (sieci </w:t>
            </w:r>
            <w:proofErr w:type="spellStart"/>
            <w:r w:rsidRPr="00D40888">
              <w:rPr>
                <w:rFonts w:eastAsia="Times New Roman" w:cstheme="minorHAnsi"/>
                <w:sz w:val="24"/>
                <w:szCs w:val="24"/>
                <w:lang w:eastAsia="pl-PL"/>
              </w:rPr>
              <w:t>wod-kan</w:t>
            </w:r>
            <w:proofErr w:type="spellEnd"/>
            <w:r w:rsidRPr="00D40888">
              <w:rPr>
                <w:rFonts w:eastAsia="Times New Roman" w:cstheme="minorHAnsi"/>
                <w:sz w:val="24"/>
                <w:szCs w:val="24"/>
                <w:lang w:eastAsia="pl-PL"/>
              </w:rPr>
              <w:t>, energetyki, ciepłownictwa),  ochrony środowiska czy rzeczoznawców majątkowych, zatem przyjęta kwota (100 tysięcy na opracowanie), jest kilkukrotnie zaniżona.</w:t>
            </w:r>
          </w:p>
          <w:p w:rsidR="00481606" w:rsidRDefault="00481606" w:rsidP="003962B4">
            <w:pPr>
              <w:pStyle w:val="Akapitzlist"/>
              <w:numPr>
                <w:ilvl w:val="0"/>
                <w:numId w:val="2"/>
              </w:numPr>
              <w:ind w:left="357" w:hanging="357"/>
              <w:contextualSpacing w:val="0"/>
              <w:jc w:val="both"/>
              <w:rPr>
                <w:rFonts w:eastAsia="Times New Roman" w:cstheme="minorHAnsi"/>
                <w:sz w:val="24"/>
                <w:szCs w:val="24"/>
                <w:lang w:eastAsia="pl-PL"/>
              </w:rPr>
            </w:pPr>
            <w:r w:rsidRPr="00D40888">
              <w:rPr>
                <w:rFonts w:eastAsia="Times New Roman" w:cstheme="minorHAnsi"/>
                <w:bCs/>
                <w:sz w:val="24"/>
                <w:szCs w:val="24"/>
                <w:lang w:eastAsia="pl-PL"/>
              </w:rPr>
              <w:t>Największym kosztem dla gmin nie jest sporządzenie samego dokumentu, lecz jego skutki finansowe wynikające z  roszczeń odszkodowawczych</w:t>
            </w:r>
            <w:r w:rsidRPr="00D40888">
              <w:rPr>
                <w:rFonts w:eastAsia="Times New Roman" w:cstheme="minorHAnsi"/>
                <w:sz w:val="24"/>
                <w:szCs w:val="24"/>
                <w:lang w:eastAsia="pl-PL"/>
              </w:rPr>
              <w:t>, co w dokumencie zostało całkowicie pominięte.</w:t>
            </w:r>
          </w:p>
          <w:p w:rsidR="006919C3" w:rsidRPr="003962B4" w:rsidRDefault="006919C3" w:rsidP="006919C3">
            <w:pPr>
              <w:pStyle w:val="Akapitzlist"/>
              <w:ind w:left="357"/>
              <w:contextualSpacing w:val="0"/>
              <w:jc w:val="both"/>
              <w:rPr>
                <w:rFonts w:eastAsia="Times New Roman" w:cstheme="minorHAnsi"/>
                <w:sz w:val="24"/>
                <w:szCs w:val="24"/>
                <w:lang w:eastAsia="pl-PL"/>
              </w:rPr>
            </w:pPr>
          </w:p>
        </w:tc>
      </w:tr>
      <w:tr w:rsidR="00C50A4A" w:rsidRPr="00D40888" w:rsidTr="00C50A4A">
        <w:trPr>
          <w:trHeight w:val="269"/>
        </w:trPr>
        <w:tc>
          <w:tcPr>
            <w:tcW w:w="180" w:type="pct"/>
          </w:tcPr>
          <w:p w:rsidR="00481606" w:rsidRPr="00D40888" w:rsidRDefault="004959B8" w:rsidP="00481606">
            <w:pPr>
              <w:jc w:val="both"/>
              <w:rPr>
                <w:rFonts w:cstheme="minorHAnsi"/>
                <w:sz w:val="24"/>
                <w:szCs w:val="24"/>
              </w:rPr>
            </w:pPr>
            <w:r>
              <w:rPr>
                <w:rFonts w:cstheme="minorHAnsi"/>
                <w:sz w:val="24"/>
                <w:szCs w:val="24"/>
              </w:rPr>
              <w:lastRenderedPageBreak/>
              <w:t>12</w:t>
            </w:r>
          </w:p>
        </w:tc>
        <w:tc>
          <w:tcPr>
            <w:tcW w:w="361" w:type="pct"/>
          </w:tcPr>
          <w:p w:rsidR="00481606" w:rsidRPr="00D40888" w:rsidRDefault="00481606" w:rsidP="00481606">
            <w:pPr>
              <w:jc w:val="both"/>
              <w:rPr>
                <w:rFonts w:cstheme="minorHAnsi"/>
                <w:sz w:val="24"/>
                <w:szCs w:val="24"/>
              </w:rPr>
            </w:pPr>
            <w:r>
              <w:rPr>
                <w:rFonts w:cstheme="minorHAnsi"/>
                <w:sz w:val="24"/>
                <w:szCs w:val="24"/>
              </w:rPr>
              <w:t xml:space="preserve">Str. </w:t>
            </w:r>
            <w:r w:rsidRPr="00D40888">
              <w:rPr>
                <w:rFonts w:cstheme="minorHAnsi"/>
                <w:sz w:val="24"/>
                <w:szCs w:val="24"/>
              </w:rPr>
              <w:t>69-70</w:t>
            </w:r>
          </w:p>
        </w:tc>
        <w:tc>
          <w:tcPr>
            <w:tcW w:w="2027" w:type="pct"/>
          </w:tcPr>
          <w:p w:rsidR="00481606" w:rsidRPr="00DB38CD" w:rsidRDefault="00481606" w:rsidP="00481606">
            <w:pPr>
              <w:jc w:val="both"/>
              <w:rPr>
                <w:rFonts w:cstheme="minorHAnsi"/>
                <w:sz w:val="24"/>
                <w:szCs w:val="24"/>
              </w:rPr>
            </w:pPr>
            <w:r w:rsidRPr="00DB38CD">
              <w:rPr>
                <w:rFonts w:cstheme="minorHAnsi"/>
                <w:sz w:val="24"/>
                <w:szCs w:val="24"/>
              </w:rPr>
              <w:t>Działania dyskusyjne</w:t>
            </w:r>
            <w:r>
              <w:rPr>
                <w:rFonts w:cstheme="minorHAnsi"/>
                <w:sz w:val="24"/>
                <w:szCs w:val="24"/>
              </w:rPr>
              <w:t>, co do których proponujemy ograniczenie środków na rzecz innych projektów</w:t>
            </w:r>
            <w:r w:rsidRPr="00DB38CD">
              <w:rPr>
                <w:rFonts w:cstheme="minorHAnsi"/>
                <w:sz w:val="24"/>
                <w:szCs w:val="24"/>
              </w:rPr>
              <w:t>:</w:t>
            </w:r>
          </w:p>
          <w:p w:rsidR="00481606" w:rsidRPr="00D40888" w:rsidRDefault="00481606" w:rsidP="00481606">
            <w:pPr>
              <w:jc w:val="both"/>
              <w:rPr>
                <w:rFonts w:cstheme="minorHAnsi"/>
                <w:sz w:val="24"/>
                <w:szCs w:val="24"/>
              </w:rPr>
            </w:pPr>
            <w:r w:rsidRPr="00D40888">
              <w:rPr>
                <w:rFonts w:cstheme="minorHAnsi"/>
                <w:sz w:val="24"/>
                <w:szCs w:val="24"/>
              </w:rPr>
              <w:t>A2.1.3. Innowacyjne rozwiązania w kulturze (przemysły kreatywne) 95 mln euro</w:t>
            </w:r>
            <w:r>
              <w:rPr>
                <w:rFonts w:cstheme="minorHAnsi"/>
                <w:sz w:val="24"/>
                <w:szCs w:val="24"/>
              </w:rPr>
              <w:t>,</w:t>
            </w:r>
          </w:p>
          <w:p w:rsidR="00481606" w:rsidRPr="00D40888" w:rsidRDefault="00481606" w:rsidP="00481606">
            <w:pPr>
              <w:jc w:val="both"/>
              <w:rPr>
                <w:rFonts w:cstheme="minorHAnsi"/>
                <w:sz w:val="24"/>
                <w:szCs w:val="24"/>
              </w:rPr>
            </w:pPr>
            <w:r w:rsidRPr="00D40888">
              <w:rPr>
                <w:rFonts w:cstheme="minorHAnsi"/>
                <w:sz w:val="24"/>
                <w:szCs w:val="24"/>
              </w:rPr>
              <w:t>A2.1.4. Mobilność bezzałogowa (Bezzałogowe statki powietrzne) 164 mln euro</w:t>
            </w:r>
            <w:r>
              <w:rPr>
                <w:rFonts w:cstheme="minorHAnsi"/>
                <w:sz w:val="24"/>
                <w:szCs w:val="24"/>
              </w:rPr>
              <w:t>.</w:t>
            </w:r>
          </w:p>
          <w:p w:rsidR="00481606" w:rsidRPr="00D40888" w:rsidRDefault="00481606" w:rsidP="00481606">
            <w:pPr>
              <w:jc w:val="both"/>
              <w:rPr>
                <w:rFonts w:cstheme="minorHAnsi"/>
                <w:sz w:val="24"/>
                <w:szCs w:val="24"/>
                <w:u w:val="single"/>
              </w:rPr>
            </w:pPr>
          </w:p>
        </w:tc>
        <w:tc>
          <w:tcPr>
            <w:tcW w:w="2432" w:type="pct"/>
          </w:tcPr>
          <w:p w:rsidR="00481606" w:rsidRPr="00D40888" w:rsidRDefault="00481606" w:rsidP="00481606">
            <w:pPr>
              <w:jc w:val="both"/>
              <w:rPr>
                <w:rFonts w:cstheme="minorHAnsi"/>
                <w:sz w:val="24"/>
                <w:szCs w:val="24"/>
              </w:rPr>
            </w:pPr>
            <w:r w:rsidRPr="00D40888">
              <w:rPr>
                <w:rFonts w:cstheme="minorHAnsi"/>
                <w:sz w:val="24"/>
                <w:szCs w:val="24"/>
              </w:rPr>
              <w:t xml:space="preserve">W porównaniu w innymi działaniami dość ogólnymi i szerokimi te wydają się bardzo wąskie i </w:t>
            </w:r>
            <w:r>
              <w:rPr>
                <w:rFonts w:cstheme="minorHAnsi"/>
                <w:sz w:val="24"/>
                <w:szCs w:val="24"/>
              </w:rPr>
              <w:t>silnie ukierunkowane</w:t>
            </w:r>
            <w:r w:rsidRPr="00D40888">
              <w:rPr>
                <w:rFonts w:cstheme="minorHAnsi"/>
                <w:sz w:val="24"/>
                <w:szCs w:val="24"/>
              </w:rPr>
              <w:t xml:space="preserve">. Ponadto są one dyskusyjne w kontekście diagnozy i realizacji celów KPO. </w:t>
            </w:r>
          </w:p>
          <w:p w:rsidR="006919C3" w:rsidRDefault="00481606" w:rsidP="00481606">
            <w:pPr>
              <w:jc w:val="both"/>
              <w:rPr>
                <w:rFonts w:cstheme="minorHAnsi"/>
                <w:sz w:val="24"/>
                <w:szCs w:val="24"/>
              </w:rPr>
            </w:pPr>
            <w:r w:rsidRPr="00D40888">
              <w:rPr>
                <w:rFonts w:cstheme="minorHAnsi"/>
                <w:sz w:val="24"/>
                <w:szCs w:val="24"/>
              </w:rPr>
              <w:t xml:space="preserve">Pod kątem </w:t>
            </w:r>
            <w:r>
              <w:rPr>
                <w:rFonts w:cstheme="minorHAnsi"/>
                <w:sz w:val="24"/>
                <w:szCs w:val="24"/>
              </w:rPr>
              <w:t xml:space="preserve">zaspokojenia </w:t>
            </w:r>
            <w:r w:rsidRPr="00D40888">
              <w:rPr>
                <w:rFonts w:cstheme="minorHAnsi"/>
                <w:sz w:val="24"/>
                <w:szCs w:val="24"/>
              </w:rPr>
              <w:t xml:space="preserve">potrzeb i </w:t>
            </w:r>
            <w:r>
              <w:rPr>
                <w:rFonts w:cstheme="minorHAnsi"/>
                <w:sz w:val="24"/>
                <w:szCs w:val="24"/>
              </w:rPr>
              <w:t xml:space="preserve">uzyskania </w:t>
            </w:r>
            <w:r w:rsidRPr="00D40888">
              <w:rPr>
                <w:rFonts w:cstheme="minorHAnsi"/>
                <w:sz w:val="24"/>
                <w:szCs w:val="24"/>
              </w:rPr>
              <w:t xml:space="preserve">efektów </w:t>
            </w:r>
            <w:r>
              <w:rPr>
                <w:rFonts w:cstheme="minorHAnsi"/>
                <w:sz w:val="24"/>
                <w:szCs w:val="24"/>
              </w:rPr>
              <w:t xml:space="preserve">KPO, </w:t>
            </w:r>
            <w:r w:rsidRPr="00D40888">
              <w:rPr>
                <w:rFonts w:cstheme="minorHAnsi"/>
                <w:sz w:val="24"/>
                <w:szCs w:val="24"/>
              </w:rPr>
              <w:t xml:space="preserve">lepszym rozwiązaniem mogłoby być przekierowanie środków z tych działań </w:t>
            </w:r>
            <w:r w:rsidR="00DA06FC">
              <w:rPr>
                <w:rFonts w:cstheme="minorHAnsi"/>
                <w:sz w:val="24"/>
                <w:szCs w:val="24"/>
              </w:rPr>
              <w:t xml:space="preserve">na inne, np. </w:t>
            </w:r>
            <w:r w:rsidRPr="00D40888">
              <w:rPr>
                <w:rFonts w:cstheme="minorHAnsi"/>
                <w:sz w:val="24"/>
                <w:szCs w:val="24"/>
              </w:rPr>
              <w:t xml:space="preserve">do B1.1.3. Termomodernizacja szkół. Obecnie w budżecie tego zadania przewidziano 194 mln euro co wg prognoz autorów dokumentu powinno wystarczyć na sfinansowanie termomodernizacji jedynie ok. 250 placówek. </w:t>
            </w:r>
          </w:p>
          <w:p w:rsidR="006919C3" w:rsidRPr="00D40888" w:rsidRDefault="006919C3" w:rsidP="00481606">
            <w:pPr>
              <w:jc w:val="both"/>
              <w:rPr>
                <w:rFonts w:cstheme="minorHAnsi"/>
                <w:sz w:val="24"/>
                <w:szCs w:val="24"/>
              </w:rPr>
            </w:pPr>
          </w:p>
        </w:tc>
      </w:tr>
      <w:tr w:rsidR="00C50A4A" w:rsidRPr="00D40888" w:rsidTr="00C50A4A">
        <w:trPr>
          <w:trHeight w:val="269"/>
        </w:trPr>
        <w:tc>
          <w:tcPr>
            <w:tcW w:w="180" w:type="pct"/>
          </w:tcPr>
          <w:p w:rsidR="00481606" w:rsidRPr="00D40888" w:rsidRDefault="004959B8" w:rsidP="00481606">
            <w:pPr>
              <w:jc w:val="both"/>
              <w:rPr>
                <w:rFonts w:cstheme="minorHAnsi"/>
                <w:sz w:val="24"/>
                <w:szCs w:val="24"/>
              </w:rPr>
            </w:pPr>
            <w:r>
              <w:rPr>
                <w:rFonts w:cstheme="minorHAnsi"/>
                <w:sz w:val="24"/>
                <w:szCs w:val="24"/>
              </w:rPr>
              <w:t>13</w:t>
            </w:r>
          </w:p>
        </w:tc>
        <w:tc>
          <w:tcPr>
            <w:tcW w:w="361" w:type="pct"/>
          </w:tcPr>
          <w:p w:rsidR="00481606" w:rsidRPr="00D40888" w:rsidRDefault="00481606" w:rsidP="00481606">
            <w:pPr>
              <w:jc w:val="both"/>
              <w:rPr>
                <w:rFonts w:cstheme="minorHAnsi"/>
                <w:sz w:val="24"/>
                <w:szCs w:val="24"/>
              </w:rPr>
            </w:pPr>
            <w:r>
              <w:rPr>
                <w:rFonts w:cstheme="minorHAnsi"/>
                <w:sz w:val="24"/>
                <w:szCs w:val="24"/>
              </w:rPr>
              <w:t xml:space="preserve">Str. </w:t>
            </w:r>
            <w:r w:rsidRPr="00D40888">
              <w:rPr>
                <w:rFonts w:cstheme="minorHAnsi"/>
                <w:sz w:val="24"/>
                <w:szCs w:val="24"/>
              </w:rPr>
              <w:t>69</w:t>
            </w:r>
          </w:p>
        </w:tc>
        <w:tc>
          <w:tcPr>
            <w:tcW w:w="2027" w:type="pct"/>
          </w:tcPr>
          <w:p w:rsidR="00481606" w:rsidRPr="00D40888" w:rsidRDefault="00481606" w:rsidP="00481606">
            <w:pPr>
              <w:jc w:val="both"/>
              <w:rPr>
                <w:rFonts w:cstheme="minorHAnsi"/>
                <w:sz w:val="24"/>
                <w:szCs w:val="24"/>
              </w:rPr>
            </w:pPr>
            <w:r w:rsidRPr="00D40888">
              <w:rPr>
                <w:rFonts w:cstheme="minorHAnsi"/>
                <w:sz w:val="24"/>
                <w:szCs w:val="24"/>
              </w:rPr>
              <w:t>A2.1.3. Innowacyjne rozwiązania w kulturze (przemysły kreatywne)</w:t>
            </w:r>
            <w:r>
              <w:rPr>
                <w:rFonts w:cstheme="minorHAnsi"/>
                <w:sz w:val="24"/>
                <w:szCs w:val="24"/>
              </w:rPr>
              <w:t xml:space="preserve"> – wnioskujemy o doprecyzowanie zaplanowanego projektu pozakonkursowego.</w:t>
            </w:r>
          </w:p>
        </w:tc>
        <w:tc>
          <w:tcPr>
            <w:tcW w:w="2432" w:type="pct"/>
          </w:tcPr>
          <w:p w:rsidR="00481606" w:rsidRDefault="00481606" w:rsidP="00481606">
            <w:pPr>
              <w:jc w:val="both"/>
              <w:rPr>
                <w:rFonts w:cstheme="minorHAnsi"/>
                <w:sz w:val="24"/>
                <w:szCs w:val="24"/>
              </w:rPr>
            </w:pPr>
            <w:r w:rsidRPr="00D40888">
              <w:rPr>
                <w:rFonts w:cstheme="minorHAnsi"/>
                <w:sz w:val="24"/>
                <w:szCs w:val="24"/>
              </w:rPr>
              <w:t xml:space="preserve">KPO nie wskazuje konkretnych inwestycji. Jednak dla inwestycji A2.1.3. Innowacyjne rozwiązania w kulturze zaplanowano finansowanie jednego projektu indywidualnego (bez konkursu) dotyczącego utworzenia modelowego centrum wspierania przemysłów kreatywnych. </w:t>
            </w:r>
            <w:r>
              <w:rPr>
                <w:rFonts w:cstheme="minorHAnsi"/>
                <w:sz w:val="24"/>
                <w:szCs w:val="24"/>
              </w:rPr>
              <w:t>Dla transparentności KPO oraz umożliwienia faktycznej konsultacji przedsięwzięcia, konieczne jest podanie o nim bliższych informacji.</w:t>
            </w:r>
          </w:p>
          <w:p w:rsidR="00481606" w:rsidRPr="00D40888" w:rsidRDefault="00481606" w:rsidP="00481606">
            <w:pPr>
              <w:jc w:val="both"/>
              <w:rPr>
                <w:rFonts w:cstheme="minorHAnsi"/>
                <w:sz w:val="24"/>
                <w:szCs w:val="24"/>
              </w:rPr>
            </w:pPr>
          </w:p>
        </w:tc>
      </w:tr>
      <w:tr w:rsidR="00C50A4A" w:rsidRPr="00D40888" w:rsidTr="00C50A4A">
        <w:trPr>
          <w:trHeight w:val="269"/>
        </w:trPr>
        <w:tc>
          <w:tcPr>
            <w:tcW w:w="180" w:type="pct"/>
          </w:tcPr>
          <w:p w:rsidR="00481606" w:rsidRPr="00D40888" w:rsidRDefault="004959B8" w:rsidP="00481606">
            <w:pPr>
              <w:jc w:val="both"/>
              <w:rPr>
                <w:rFonts w:cstheme="minorHAnsi"/>
                <w:sz w:val="24"/>
                <w:szCs w:val="24"/>
              </w:rPr>
            </w:pPr>
            <w:r>
              <w:rPr>
                <w:rFonts w:cstheme="minorHAnsi"/>
                <w:sz w:val="24"/>
                <w:szCs w:val="24"/>
              </w:rPr>
              <w:t>14</w:t>
            </w:r>
          </w:p>
        </w:tc>
        <w:tc>
          <w:tcPr>
            <w:tcW w:w="361" w:type="pct"/>
          </w:tcPr>
          <w:p w:rsidR="00481606" w:rsidRPr="00D40888" w:rsidRDefault="00481606" w:rsidP="00481606">
            <w:pPr>
              <w:rPr>
                <w:rFonts w:cstheme="minorHAnsi"/>
                <w:sz w:val="24"/>
                <w:szCs w:val="24"/>
              </w:rPr>
            </w:pPr>
            <w:r>
              <w:rPr>
                <w:rFonts w:cstheme="minorHAnsi"/>
                <w:sz w:val="24"/>
                <w:szCs w:val="24"/>
              </w:rPr>
              <w:t xml:space="preserve">Str. </w:t>
            </w:r>
            <w:r w:rsidRPr="00D40888">
              <w:rPr>
                <w:rFonts w:cstheme="minorHAnsi"/>
                <w:sz w:val="24"/>
                <w:szCs w:val="24"/>
              </w:rPr>
              <w:t>103-104</w:t>
            </w:r>
          </w:p>
        </w:tc>
        <w:tc>
          <w:tcPr>
            <w:tcW w:w="2027" w:type="pct"/>
          </w:tcPr>
          <w:p w:rsidR="00481606" w:rsidRDefault="00481606" w:rsidP="00481606">
            <w:pPr>
              <w:jc w:val="both"/>
              <w:rPr>
                <w:rFonts w:cstheme="minorHAnsi"/>
                <w:sz w:val="24"/>
                <w:szCs w:val="24"/>
              </w:rPr>
            </w:pPr>
            <w:r w:rsidRPr="00D40888">
              <w:rPr>
                <w:rFonts w:cstheme="minorHAnsi"/>
                <w:sz w:val="24"/>
                <w:szCs w:val="24"/>
              </w:rPr>
              <w:t>B1.1.1. Inwestycje w źródła ciepła (chłodu) w systemach ciepłowniczych</w:t>
            </w:r>
            <w:r>
              <w:rPr>
                <w:rFonts w:cstheme="minorHAnsi"/>
                <w:sz w:val="24"/>
                <w:szCs w:val="24"/>
              </w:rPr>
              <w:t xml:space="preserve"> - w</w:t>
            </w:r>
            <w:r w:rsidRPr="00D40888">
              <w:rPr>
                <w:rFonts w:cstheme="minorHAnsi"/>
                <w:sz w:val="24"/>
                <w:szCs w:val="24"/>
              </w:rPr>
              <w:t xml:space="preserve"> KPO założono</w:t>
            </w:r>
            <w:r>
              <w:rPr>
                <w:rFonts w:cstheme="minorHAnsi"/>
                <w:sz w:val="24"/>
                <w:szCs w:val="24"/>
              </w:rPr>
              <w:t xml:space="preserve"> zbyt niską kwotę tj.</w:t>
            </w:r>
            <w:r w:rsidRPr="00D40888">
              <w:rPr>
                <w:rFonts w:cstheme="minorHAnsi"/>
                <w:sz w:val="24"/>
                <w:szCs w:val="24"/>
              </w:rPr>
              <w:t xml:space="preserve"> </w:t>
            </w:r>
            <w:r>
              <w:rPr>
                <w:rFonts w:cstheme="minorHAnsi"/>
                <w:sz w:val="24"/>
                <w:szCs w:val="24"/>
              </w:rPr>
              <w:t>388 mln euro, co pozwoli na realizację</w:t>
            </w:r>
            <w:r w:rsidRPr="00D40888">
              <w:rPr>
                <w:rFonts w:cstheme="minorHAnsi"/>
                <w:sz w:val="24"/>
                <w:szCs w:val="24"/>
              </w:rPr>
              <w:t xml:space="preserve"> </w:t>
            </w:r>
            <w:r w:rsidR="00A84123">
              <w:rPr>
                <w:rFonts w:cstheme="minorHAnsi"/>
                <w:sz w:val="24"/>
                <w:szCs w:val="24"/>
              </w:rPr>
              <w:t xml:space="preserve">zaledwie </w:t>
            </w:r>
            <w:r w:rsidRPr="00D40888">
              <w:rPr>
                <w:rFonts w:cstheme="minorHAnsi"/>
                <w:sz w:val="24"/>
                <w:szCs w:val="24"/>
              </w:rPr>
              <w:t>ok. 120 nowych instalacji.</w:t>
            </w:r>
            <w:r>
              <w:rPr>
                <w:rFonts w:cstheme="minorHAnsi"/>
                <w:sz w:val="24"/>
                <w:szCs w:val="24"/>
              </w:rPr>
              <w:t xml:space="preserve"> </w:t>
            </w:r>
          </w:p>
          <w:p w:rsidR="00481606" w:rsidRPr="00D40888" w:rsidRDefault="00481606" w:rsidP="00481606">
            <w:pPr>
              <w:jc w:val="both"/>
              <w:rPr>
                <w:rFonts w:cstheme="minorHAnsi"/>
                <w:sz w:val="24"/>
                <w:szCs w:val="24"/>
              </w:rPr>
            </w:pPr>
          </w:p>
        </w:tc>
        <w:tc>
          <w:tcPr>
            <w:tcW w:w="2432" w:type="pct"/>
          </w:tcPr>
          <w:p w:rsidR="00481606" w:rsidRPr="00D40888" w:rsidRDefault="00481606" w:rsidP="00481606">
            <w:pPr>
              <w:jc w:val="both"/>
              <w:rPr>
                <w:rFonts w:cstheme="minorHAnsi"/>
                <w:sz w:val="24"/>
                <w:szCs w:val="24"/>
              </w:rPr>
            </w:pPr>
            <w:r>
              <w:rPr>
                <w:rFonts w:cstheme="minorHAnsi"/>
                <w:sz w:val="24"/>
                <w:szCs w:val="24"/>
              </w:rPr>
              <w:t>P</w:t>
            </w:r>
            <w:r w:rsidRPr="00D40888">
              <w:rPr>
                <w:rFonts w:cstheme="minorHAnsi"/>
                <w:sz w:val="24"/>
                <w:szCs w:val="24"/>
              </w:rPr>
              <w:t xml:space="preserve">rzyjęta kwota </w:t>
            </w:r>
            <w:r>
              <w:rPr>
                <w:rFonts w:cstheme="minorHAnsi"/>
                <w:sz w:val="24"/>
                <w:szCs w:val="24"/>
              </w:rPr>
              <w:t xml:space="preserve">prawdopodobnie </w:t>
            </w:r>
            <w:r w:rsidRPr="00D40888">
              <w:rPr>
                <w:rFonts w:cstheme="minorHAnsi"/>
                <w:sz w:val="24"/>
                <w:szCs w:val="24"/>
              </w:rPr>
              <w:t>nie wystarczy do realizacji założonej liczby projektów</w:t>
            </w:r>
            <w:r>
              <w:rPr>
                <w:rFonts w:cstheme="minorHAnsi"/>
                <w:sz w:val="24"/>
                <w:szCs w:val="24"/>
              </w:rPr>
              <w:t xml:space="preserve"> (na podst. opinii i doświadczeń komunalnych spółek ciepłowniczych).</w:t>
            </w:r>
          </w:p>
        </w:tc>
      </w:tr>
      <w:tr w:rsidR="00C50A4A" w:rsidRPr="00D40888" w:rsidTr="00C50A4A">
        <w:trPr>
          <w:trHeight w:val="269"/>
        </w:trPr>
        <w:tc>
          <w:tcPr>
            <w:tcW w:w="180" w:type="pct"/>
          </w:tcPr>
          <w:p w:rsidR="00481606" w:rsidRPr="00D40888" w:rsidRDefault="00481606" w:rsidP="004959B8">
            <w:pPr>
              <w:jc w:val="both"/>
              <w:rPr>
                <w:rFonts w:cstheme="minorHAnsi"/>
                <w:sz w:val="24"/>
                <w:szCs w:val="24"/>
              </w:rPr>
            </w:pPr>
            <w:r>
              <w:rPr>
                <w:rFonts w:cstheme="minorHAnsi"/>
                <w:sz w:val="24"/>
                <w:szCs w:val="24"/>
              </w:rPr>
              <w:t>1</w:t>
            </w:r>
            <w:r w:rsidR="004959B8">
              <w:rPr>
                <w:rFonts w:cstheme="minorHAnsi"/>
                <w:sz w:val="24"/>
                <w:szCs w:val="24"/>
              </w:rPr>
              <w:t>5</w:t>
            </w:r>
          </w:p>
        </w:tc>
        <w:tc>
          <w:tcPr>
            <w:tcW w:w="361" w:type="pct"/>
          </w:tcPr>
          <w:p w:rsidR="00481606" w:rsidRPr="00D40888" w:rsidRDefault="00481606" w:rsidP="00481606">
            <w:pPr>
              <w:jc w:val="both"/>
              <w:rPr>
                <w:rFonts w:cstheme="minorHAnsi"/>
                <w:sz w:val="24"/>
                <w:szCs w:val="24"/>
              </w:rPr>
            </w:pPr>
            <w:r>
              <w:rPr>
                <w:rFonts w:cstheme="minorHAnsi"/>
                <w:sz w:val="24"/>
                <w:szCs w:val="24"/>
              </w:rPr>
              <w:t xml:space="preserve">Str. </w:t>
            </w:r>
            <w:r w:rsidRPr="00D40888">
              <w:rPr>
                <w:rFonts w:cstheme="minorHAnsi"/>
                <w:sz w:val="24"/>
                <w:szCs w:val="24"/>
              </w:rPr>
              <w:t>104</w:t>
            </w:r>
          </w:p>
        </w:tc>
        <w:tc>
          <w:tcPr>
            <w:tcW w:w="2027" w:type="pct"/>
          </w:tcPr>
          <w:p w:rsidR="00481606" w:rsidRPr="00D40888" w:rsidRDefault="00481606" w:rsidP="00481606">
            <w:pPr>
              <w:jc w:val="both"/>
              <w:rPr>
                <w:rFonts w:cstheme="minorHAnsi"/>
                <w:sz w:val="24"/>
                <w:szCs w:val="24"/>
              </w:rPr>
            </w:pPr>
            <w:r w:rsidRPr="00D40888">
              <w:rPr>
                <w:rFonts w:cstheme="minorHAnsi"/>
                <w:sz w:val="24"/>
                <w:szCs w:val="24"/>
              </w:rPr>
              <w:t>B1.1.1. Inwestycje w źródła ciepła (chłodu) w systemach ciepłowniczych</w:t>
            </w:r>
          </w:p>
          <w:p w:rsidR="00481606" w:rsidRDefault="00481606" w:rsidP="00481606">
            <w:pPr>
              <w:jc w:val="both"/>
              <w:rPr>
                <w:rFonts w:cstheme="minorHAnsi"/>
                <w:sz w:val="24"/>
                <w:szCs w:val="24"/>
              </w:rPr>
            </w:pPr>
            <w:r w:rsidRPr="00D40888">
              <w:rPr>
                <w:rFonts w:cstheme="minorHAnsi"/>
                <w:sz w:val="24"/>
                <w:szCs w:val="24"/>
              </w:rPr>
              <w:t>Pr</w:t>
            </w:r>
            <w:r>
              <w:rPr>
                <w:rFonts w:cstheme="minorHAnsi"/>
                <w:sz w:val="24"/>
                <w:szCs w:val="24"/>
              </w:rPr>
              <w:t>zyjęty zakres czasowy</w:t>
            </w:r>
            <w:r w:rsidRPr="00D40888">
              <w:rPr>
                <w:rFonts w:cstheme="minorHAnsi"/>
                <w:sz w:val="24"/>
                <w:szCs w:val="24"/>
              </w:rPr>
              <w:t xml:space="preserve">: I kw. 2021 r. – III kw. 2026 r. </w:t>
            </w:r>
            <w:r>
              <w:rPr>
                <w:rFonts w:cstheme="minorHAnsi"/>
                <w:sz w:val="24"/>
                <w:szCs w:val="24"/>
              </w:rPr>
              <w:t>jest obarczony dużym ryzykiem niezrealizowania inwestycji.</w:t>
            </w:r>
          </w:p>
          <w:p w:rsidR="00481606" w:rsidRDefault="00481606" w:rsidP="00481606">
            <w:pPr>
              <w:jc w:val="both"/>
              <w:rPr>
                <w:rFonts w:cstheme="minorHAnsi"/>
                <w:sz w:val="24"/>
                <w:szCs w:val="24"/>
              </w:rPr>
            </w:pPr>
          </w:p>
          <w:p w:rsidR="00784374" w:rsidRPr="00D40888" w:rsidRDefault="00784374" w:rsidP="00481606">
            <w:pPr>
              <w:jc w:val="both"/>
              <w:rPr>
                <w:rFonts w:cstheme="minorHAnsi"/>
                <w:sz w:val="24"/>
                <w:szCs w:val="24"/>
              </w:rPr>
            </w:pPr>
          </w:p>
        </w:tc>
        <w:tc>
          <w:tcPr>
            <w:tcW w:w="2432" w:type="pct"/>
          </w:tcPr>
          <w:p w:rsidR="00481606" w:rsidRPr="00D40888" w:rsidRDefault="00481606" w:rsidP="00481606">
            <w:pPr>
              <w:jc w:val="both"/>
              <w:rPr>
                <w:rFonts w:cstheme="minorHAnsi"/>
                <w:sz w:val="24"/>
                <w:szCs w:val="24"/>
              </w:rPr>
            </w:pPr>
            <w:r w:rsidRPr="00D40888">
              <w:rPr>
                <w:rFonts w:cstheme="minorHAnsi"/>
                <w:sz w:val="24"/>
                <w:szCs w:val="24"/>
              </w:rPr>
              <w:t>Realizacja podobnych zadań w poprzedniej perspektywie rozpoczęła się w roku 2016 i nadal trwa. Realizacja budowy źródła od mo</w:t>
            </w:r>
            <w:r>
              <w:rPr>
                <w:rFonts w:cstheme="minorHAnsi"/>
                <w:sz w:val="24"/>
                <w:szCs w:val="24"/>
              </w:rPr>
              <w:t>mentu aplikowania o środki do oddania inwestycji wynosi</w:t>
            </w:r>
            <w:r w:rsidRPr="00D40888">
              <w:rPr>
                <w:rFonts w:cstheme="minorHAnsi"/>
                <w:sz w:val="24"/>
                <w:szCs w:val="24"/>
              </w:rPr>
              <w:t xml:space="preserve"> od 4,5 roku do 6 lat.</w:t>
            </w:r>
          </w:p>
        </w:tc>
      </w:tr>
      <w:tr w:rsidR="00C50A4A" w:rsidRPr="00D40888" w:rsidTr="00C50A4A">
        <w:trPr>
          <w:trHeight w:val="269"/>
        </w:trPr>
        <w:tc>
          <w:tcPr>
            <w:tcW w:w="180" w:type="pct"/>
          </w:tcPr>
          <w:p w:rsidR="00481606" w:rsidRPr="00D40888" w:rsidRDefault="004959B8" w:rsidP="00481606">
            <w:pPr>
              <w:jc w:val="both"/>
              <w:rPr>
                <w:rFonts w:cstheme="minorHAnsi"/>
                <w:sz w:val="24"/>
                <w:szCs w:val="24"/>
              </w:rPr>
            </w:pPr>
            <w:r>
              <w:rPr>
                <w:rFonts w:cstheme="minorHAnsi"/>
                <w:sz w:val="24"/>
                <w:szCs w:val="24"/>
              </w:rPr>
              <w:lastRenderedPageBreak/>
              <w:t>16</w:t>
            </w:r>
          </w:p>
        </w:tc>
        <w:tc>
          <w:tcPr>
            <w:tcW w:w="361" w:type="pct"/>
          </w:tcPr>
          <w:p w:rsidR="00481606" w:rsidRPr="00D40888" w:rsidRDefault="00481606" w:rsidP="00481606">
            <w:pPr>
              <w:jc w:val="both"/>
              <w:rPr>
                <w:rFonts w:cstheme="minorHAnsi"/>
                <w:sz w:val="24"/>
                <w:szCs w:val="24"/>
              </w:rPr>
            </w:pPr>
            <w:r>
              <w:rPr>
                <w:rFonts w:cstheme="minorHAnsi"/>
                <w:sz w:val="24"/>
                <w:szCs w:val="24"/>
              </w:rPr>
              <w:t xml:space="preserve">Str. </w:t>
            </w:r>
            <w:r w:rsidRPr="00D40888">
              <w:rPr>
                <w:rFonts w:cstheme="minorHAnsi"/>
                <w:sz w:val="24"/>
                <w:szCs w:val="24"/>
              </w:rPr>
              <w:t>108</w:t>
            </w:r>
          </w:p>
        </w:tc>
        <w:tc>
          <w:tcPr>
            <w:tcW w:w="2027" w:type="pct"/>
          </w:tcPr>
          <w:p w:rsidR="00481606" w:rsidRPr="00D40888" w:rsidRDefault="00481606" w:rsidP="00481606">
            <w:pPr>
              <w:jc w:val="both"/>
              <w:rPr>
                <w:rFonts w:cstheme="minorHAnsi"/>
                <w:sz w:val="24"/>
                <w:szCs w:val="24"/>
              </w:rPr>
            </w:pPr>
            <w:r w:rsidRPr="00D40888">
              <w:rPr>
                <w:rFonts w:cstheme="minorHAnsi"/>
                <w:sz w:val="24"/>
                <w:szCs w:val="24"/>
              </w:rPr>
              <w:t>Demarkacja Celu B1. z innymi źródłami finansowania:</w:t>
            </w:r>
          </w:p>
          <w:p w:rsidR="00481606" w:rsidRDefault="00481606" w:rsidP="00481606">
            <w:pPr>
              <w:jc w:val="both"/>
              <w:rPr>
                <w:rFonts w:cstheme="minorHAnsi"/>
                <w:sz w:val="24"/>
                <w:szCs w:val="24"/>
              </w:rPr>
            </w:pPr>
            <w:r w:rsidRPr="00D40888">
              <w:rPr>
                <w:rFonts w:cstheme="minorHAnsi"/>
                <w:sz w:val="24"/>
                <w:szCs w:val="24"/>
              </w:rPr>
              <w:t>Ze środków RRF planowane jest wsparcie źródła OZE w ciepłownictwie (w nowych systemach lub źródła umożliwiające zmianę klasyfikacji systemu ciepłowniczego na „efektywny energetycznie system ciepłowniczy i chłodniczy”).</w:t>
            </w:r>
          </w:p>
          <w:p w:rsidR="00481606" w:rsidRDefault="00481606" w:rsidP="00481606">
            <w:pPr>
              <w:jc w:val="both"/>
              <w:rPr>
                <w:rFonts w:cstheme="minorHAnsi"/>
                <w:sz w:val="24"/>
                <w:szCs w:val="24"/>
              </w:rPr>
            </w:pPr>
          </w:p>
          <w:p w:rsidR="00481606" w:rsidRDefault="00481606" w:rsidP="00481606">
            <w:pPr>
              <w:jc w:val="both"/>
              <w:rPr>
                <w:rFonts w:cstheme="minorHAnsi"/>
                <w:sz w:val="24"/>
                <w:szCs w:val="24"/>
              </w:rPr>
            </w:pPr>
            <w:r>
              <w:rPr>
                <w:rFonts w:cstheme="minorHAnsi"/>
                <w:sz w:val="24"/>
                <w:szCs w:val="24"/>
              </w:rPr>
              <w:t>Wnioskujemy o modyfikację zapisów, by nie wykluczały wsparcia systemów już spełniających warunek efektywności.</w:t>
            </w:r>
          </w:p>
          <w:p w:rsidR="00481606" w:rsidRPr="00D40888" w:rsidRDefault="00481606" w:rsidP="00481606">
            <w:pPr>
              <w:jc w:val="both"/>
              <w:rPr>
                <w:rFonts w:cstheme="minorHAnsi"/>
                <w:sz w:val="24"/>
                <w:szCs w:val="24"/>
              </w:rPr>
            </w:pPr>
          </w:p>
        </w:tc>
        <w:tc>
          <w:tcPr>
            <w:tcW w:w="2432" w:type="pct"/>
          </w:tcPr>
          <w:p w:rsidR="00481606" w:rsidRPr="00D40888" w:rsidRDefault="00481606" w:rsidP="00481606">
            <w:pPr>
              <w:jc w:val="both"/>
              <w:rPr>
                <w:rFonts w:cstheme="minorHAnsi"/>
                <w:sz w:val="24"/>
                <w:szCs w:val="24"/>
              </w:rPr>
            </w:pPr>
            <w:r>
              <w:rPr>
                <w:rFonts w:cstheme="minorHAnsi"/>
                <w:sz w:val="24"/>
                <w:szCs w:val="24"/>
              </w:rPr>
              <w:t>Wsparcie KPO dotyczy</w:t>
            </w:r>
            <w:r w:rsidRPr="00D40888">
              <w:rPr>
                <w:rFonts w:cstheme="minorHAnsi"/>
                <w:sz w:val="24"/>
                <w:szCs w:val="24"/>
              </w:rPr>
              <w:t xml:space="preserve"> sys</w:t>
            </w:r>
            <w:r>
              <w:rPr>
                <w:rFonts w:cstheme="minorHAnsi"/>
                <w:sz w:val="24"/>
                <w:szCs w:val="24"/>
              </w:rPr>
              <w:t>temów, które nie są efektywne, co niesłusznie</w:t>
            </w:r>
            <w:r w:rsidRPr="00D40888">
              <w:rPr>
                <w:rFonts w:cstheme="minorHAnsi"/>
                <w:sz w:val="24"/>
                <w:szCs w:val="24"/>
              </w:rPr>
              <w:t xml:space="preserve"> wyklucza </w:t>
            </w:r>
            <w:r>
              <w:rPr>
                <w:rFonts w:cstheme="minorHAnsi"/>
                <w:sz w:val="24"/>
                <w:szCs w:val="24"/>
              </w:rPr>
              <w:t xml:space="preserve">wymagające dalszego podnoszenia efektywności i nakładów </w:t>
            </w:r>
            <w:r w:rsidRPr="00D40888">
              <w:rPr>
                <w:rFonts w:cstheme="minorHAnsi"/>
                <w:sz w:val="24"/>
                <w:szCs w:val="24"/>
              </w:rPr>
              <w:t>system</w:t>
            </w:r>
            <w:r>
              <w:rPr>
                <w:rFonts w:cstheme="minorHAnsi"/>
                <w:sz w:val="24"/>
                <w:szCs w:val="24"/>
              </w:rPr>
              <w:t xml:space="preserve">y (głównie miast), które już </w:t>
            </w:r>
            <w:r w:rsidRPr="00D40888">
              <w:rPr>
                <w:rFonts w:cstheme="minorHAnsi"/>
                <w:sz w:val="24"/>
                <w:szCs w:val="24"/>
              </w:rPr>
              <w:t>spełni</w:t>
            </w:r>
            <w:r>
              <w:rPr>
                <w:rFonts w:cstheme="minorHAnsi"/>
                <w:sz w:val="24"/>
                <w:szCs w:val="24"/>
              </w:rPr>
              <w:t>ają</w:t>
            </w:r>
            <w:r w:rsidRPr="00D40888">
              <w:rPr>
                <w:rFonts w:cstheme="minorHAnsi"/>
                <w:sz w:val="24"/>
                <w:szCs w:val="24"/>
              </w:rPr>
              <w:t xml:space="preserve"> warunek efektywnego systemu ciepłowniczego.  </w:t>
            </w:r>
          </w:p>
        </w:tc>
      </w:tr>
      <w:tr w:rsidR="00C50A4A" w:rsidRPr="00D40888" w:rsidTr="00C50A4A">
        <w:trPr>
          <w:trHeight w:val="269"/>
        </w:trPr>
        <w:tc>
          <w:tcPr>
            <w:tcW w:w="180" w:type="pct"/>
          </w:tcPr>
          <w:p w:rsidR="00481606" w:rsidRPr="00D40888" w:rsidRDefault="004959B8" w:rsidP="00481606">
            <w:pPr>
              <w:jc w:val="both"/>
              <w:rPr>
                <w:rFonts w:cstheme="minorHAnsi"/>
                <w:sz w:val="24"/>
                <w:szCs w:val="24"/>
              </w:rPr>
            </w:pPr>
            <w:r>
              <w:rPr>
                <w:rFonts w:cstheme="minorHAnsi"/>
                <w:sz w:val="24"/>
                <w:szCs w:val="24"/>
              </w:rPr>
              <w:t>17</w:t>
            </w:r>
          </w:p>
        </w:tc>
        <w:tc>
          <w:tcPr>
            <w:tcW w:w="361" w:type="pct"/>
          </w:tcPr>
          <w:p w:rsidR="00481606" w:rsidRPr="00D40888" w:rsidRDefault="00481606" w:rsidP="00481606">
            <w:pPr>
              <w:jc w:val="both"/>
              <w:rPr>
                <w:rFonts w:cstheme="minorHAnsi"/>
                <w:sz w:val="24"/>
                <w:szCs w:val="24"/>
              </w:rPr>
            </w:pPr>
            <w:r>
              <w:rPr>
                <w:rFonts w:cstheme="minorHAnsi"/>
                <w:sz w:val="24"/>
                <w:szCs w:val="24"/>
              </w:rPr>
              <w:t xml:space="preserve">Str. </w:t>
            </w:r>
            <w:r w:rsidRPr="00D40888">
              <w:rPr>
                <w:rFonts w:cstheme="minorHAnsi"/>
                <w:sz w:val="24"/>
                <w:szCs w:val="24"/>
              </w:rPr>
              <w:t>106</w:t>
            </w:r>
          </w:p>
        </w:tc>
        <w:tc>
          <w:tcPr>
            <w:tcW w:w="2027" w:type="pct"/>
          </w:tcPr>
          <w:p w:rsidR="00481606" w:rsidRPr="00D40888" w:rsidRDefault="00481606" w:rsidP="00481606">
            <w:pPr>
              <w:jc w:val="both"/>
              <w:rPr>
                <w:rFonts w:cstheme="minorHAnsi"/>
                <w:sz w:val="24"/>
                <w:szCs w:val="24"/>
              </w:rPr>
            </w:pPr>
            <w:r w:rsidRPr="00D40888">
              <w:rPr>
                <w:rFonts w:cstheme="minorHAnsi"/>
                <w:sz w:val="24"/>
                <w:szCs w:val="24"/>
              </w:rPr>
              <w:t>B1.1.3. Termomodernizacja szkół</w:t>
            </w:r>
            <w:r>
              <w:rPr>
                <w:rFonts w:cstheme="minorHAnsi"/>
                <w:sz w:val="24"/>
                <w:szCs w:val="24"/>
              </w:rPr>
              <w:t xml:space="preserve"> – wnioskujemy o zwiększenie środków na to działanie, alokacja jest zdecydowanie za niska. Konieczne jest też dookreślenie procedury wyboru projektów.</w:t>
            </w:r>
          </w:p>
        </w:tc>
        <w:tc>
          <w:tcPr>
            <w:tcW w:w="2432" w:type="pct"/>
          </w:tcPr>
          <w:p w:rsidR="00481606" w:rsidRDefault="00481606" w:rsidP="00481606">
            <w:pPr>
              <w:jc w:val="both"/>
              <w:rPr>
                <w:rFonts w:cstheme="minorHAnsi"/>
                <w:sz w:val="24"/>
                <w:szCs w:val="24"/>
              </w:rPr>
            </w:pPr>
            <w:r w:rsidRPr="00D40888">
              <w:rPr>
                <w:rFonts w:cstheme="minorHAnsi"/>
                <w:sz w:val="24"/>
                <w:szCs w:val="24"/>
              </w:rPr>
              <w:t xml:space="preserve">Zaplanowane zostały środki jedynie na inwestycje w 250 placówkach. W opisie zadania nie ma informacji o zdiagnozowanych potrzebach w tym zakresie. W Polsce jest ponad 20 tys. szkół, oczywiście nie jest to równoznaczne z liczbą obiektów szkolnych, ich jest oczywiście mniej, ale wskazuje na pewną skalę zjawiska. W Bydgoszczy </w:t>
            </w:r>
            <w:r>
              <w:rPr>
                <w:rFonts w:cstheme="minorHAnsi"/>
                <w:sz w:val="24"/>
                <w:szCs w:val="24"/>
              </w:rPr>
              <w:t>funkcjonuje</w:t>
            </w:r>
            <w:r w:rsidRPr="00D40888">
              <w:rPr>
                <w:rFonts w:cstheme="minorHAnsi"/>
                <w:sz w:val="24"/>
                <w:szCs w:val="24"/>
              </w:rPr>
              <w:t xml:space="preserve"> 178 szkół – 65 obiektów </w:t>
            </w:r>
            <w:r>
              <w:rPr>
                <w:rFonts w:cstheme="minorHAnsi"/>
                <w:sz w:val="24"/>
                <w:szCs w:val="24"/>
              </w:rPr>
              <w:t xml:space="preserve">jest </w:t>
            </w:r>
            <w:r w:rsidRPr="00D40888">
              <w:rPr>
                <w:rFonts w:cstheme="minorHAnsi"/>
                <w:sz w:val="24"/>
                <w:szCs w:val="24"/>
              </w:rPr>
              <w:t>w trakcie przygotowani</w:t>
            </w:r>
            <w:r>
              <w:rPr>
                <w:rFonts w:cstheme="minorHAnsi"/>
                <w:sz w:val="24"/>
                <w:szCs w:val="24"/>
              </w:rPr>
              <w:t>a</w:t>
            </w:r>
            <w:r w:rsidRPr="00D40888">
              <w:rPr>
                <w:rFonts w:cstheme="minorHAnsi"/>
                <w:sz w:val="24"/>
                <w:szCs w:val="24"/>
              </w:rPr>
              <w:t xml:space="preserve"> dokumentac</w:t>
            </w:r>
            <w:r>
              <w:rPr>
                <w:rFonts w:cstheme="minorHAnsi"/>
                <w:sz w:val="24"/>
                <w:szCs w:val="24"/>
              </w:rPr>
              <w:t>ji na termomodernizacje</w:t>
            </w:r>
            <w:r w:rsidRPr="00D40888">
              <w:rPr>
                <w:rFonts w:cstheme="minorHAnsi"/>
                <w:sz w:val="24"/>
                <w:szCs w:val="24"/>
              </w:rPr>
              <w:t>. Jednocześnie dla wsparcia tego przewiduje się tryb konkursowy i indywidualny</w:t>
            </w:r>
            <w:r>
              <w:rPr>
                <w:rFonts w:cstheme="minorHAnsi"/>
                <w:sz w:val="24"/>
                <w:szCs w:val="24"/>
              </w:rPr>
              <w:t>, bez żadnych bliższych informacji.</w:t>
            </w:r>
          </w:p>
          <w:p w:rsidR="00481606" w:rsidRPr="00D40888" w:rsidRDefault="00481606" w:rsidP="00481606">
            <w:pPr>
              <w:jc w:val="both"/>
              <w:rPr>
                <w:rFonts w:cstheme="minorHAnsi"/>
                <w:sz w:val="24"/>
                <w:szCs w:val="24"/>
              </w:rPr>
            </w:pPr>
          </w:p>
        </w:tc>
      </w:tr>
      <w:tr w:rsidR="00C50A4A" w:rsidRPr="00D40888" w:rsidTr="00C50A4A">
        <w:trPr>
          <w:trHeight w:val="269"/>
        </w:trPr>
        <w:tc>
          <w:tcPr>
            <w:tcW w:w="180" w:type="pct"/>
          </w:tcPr>
          <w:p w:rsidR="00481606" w:rsidRPr="00D40888" w:rsidRDefault="004959B8" w:rsidP="00481606">
            <w:pPr>
              <w:jc w:val="both"/>
              <w:rPr>
                <w:rFonts w:cstheme="minorHAnsi"/>
                <w:sz w:val="24"/>
                <w:szCs w:val="24"/>
              </w:rPr>
            </w:pPr>
            <w:r>
              <w:rPr>
                <w:rFonts w:cstheme="minorHAnsi"/>
                <w:sz w:val="24"/>
                <w:szCs w:val="24"/>
              </w:rPr>
              <w:t>18</w:t>
            </w:r>
          </w:p>
        </w:tc>
        <w:tc>
          <w:tcPr>
            <w:tcW w:w="361" w:type="pct"/>
          </w:tcPr>
          <w:p w:rsidR="00481606" w:rsidRPr="006F396E" w:rsidRDefault="00481606" w:rsidP="00481606">
            <w:pPr>
              <w:jc w:val="both"/>
              <w:rPr>
                <w:rFonts w:cstheme="minorHAnsi"/>
                <w:sz w:val="24"/>
                <w:szCs w:val="24"/>
              </w:rPr>
            </w:pPr>
            <w:r w:rsidRPr="006F396E">
              <w:rPr>
                <w:rFonts w:cstheme="minorHAnsi"/>
                <w:sz w:val="24"/>
                <w:szCs w:val="24"/>
              </w:rPr>
              <w:t>Str. 108-110</w:t>
            </w:r>
          </w:p>
        </w:tc>
        <w:tc>
          <w:tcPr>
            <w:tcW w:w="2027" w:type="pct"/>
          </w:tcPr>
          <w:p w:rsidR="00481606" w:rsidRPr="006F396E" w:rsidRDefault="00481606" w:rsidP="00481606">
            <w:pPr>
              <w:jc w:val="both"/>
              <w:rPr>
                <w:rFonts w:cstheme="minorHAnsi"/>
                <w:sz w:val="24"/>
                <w:szCs w:val="24"/>
              </w:rPr>
            </w:pPr>
            <w:r w:rsidRPr="006F396E">
              <w:rPr>
                <w:rFonts w:cstheme="minorHAnsi"/>
                <w:sz w:val="24"/>
                <w:szCs w:val="24"/>
              </w:rPr>
              <w:t xml:space="preserve">B2.1.1. Rozwój technologii wodorowych i paliw alternatywnych – wnioskujemy o </w:t>
            </w:r>
            <w:r w:rsidRPr="006F396E">
              <w:rPr>
                <w:rFonts w:cstheme="minorHAnsi"/>
                <w:bCs/>
                <w:sz w:val="24"/>
                <w:szCs w:val="24"/>
              </w:rPr>
              <w:t>rozszerzenie o paliwo alternatywne biogaz/</w:t>
            </w:r>
            <w:proofErr w:type="spellStart"/>
            <w:r>
              <w:rPr>
                <w:rFonts w:cstheme="minorHAnsi"/>
                <w:bCs/>
                <w:sz w:val="24"/>
                <w:szCs w:val="24"/>
              </w:rPr>
              <w:t>biometan</w:t>
            </w:r>
            <w:proofErr w:type="spellEnd"/>
            <w:r>
              <w:rPr>
                <w:rFonts w:cstheme="minorHAnsi"/>
                <w:bCs/>
                <w:sz w:val="24"/>
                <w:szCs w:val="24"/>
              </w:rPr>
              <w:t>.</w:t>
            </w:r>
          </w:p>
        </w:tc>
        <w:tc>
          <w:tcPr>
            <w:tcW w:w="2432" w:type="pct"/>
          </w:tcPr>
          <w:p w:rsidR="00481606" w:rsidRPr="006F396E" w:rsidRDefault="00481606" w:rsidP="00481606">
            <w:pPr>
              <w:jc w:val="both"/>
              <w:rPr>
                <w:rFonts w:cstheme="minorHAnsi"/>
                <w:sz w:val="24"/>
                <w:szCs w:val="24"/>
              </w:rPr>
            </w:pPr>
            <w:r w:rsidRPr="006F396E">
              <w:rPr>
                <w:rFonts w:cstheme="minorHAnsi"/>
                <w:sz w:val="24"/>
                <w:szCs w:val="24"/>
              </w:rPr>
              <w:t xml:space="preserve">W dokumencie pojawiły się informacje o rozwoju rynku biogazu i </w:t>
            </w:r>
            <w:proofErr w:type="spellStart"/>
            <w:r>
              <w:rPr>
                <w:rFonts w:cstheme="minorHAnsi"/>
                <w:sz w:val="24"/>
                <w:szCs w:val="24"/>
              </w:rPr>
              <w:t>biometanu</w:t>
            </w:r>
            <w:proofErr w:type="spellEnd"/>
            <w:r>
              <w:rPr>
                <w:rFonts w:cstheme="minorHAnsi"/>
                <w:sz w:val="24"/>
                <w:szCs w:val="24"/>
              </w:rPr>
              <w:t xml:space="preserve"> (str.34) oraz w W</w:t>
            </w:r>
            <w:r w:rsidRPr="006F396E">
              <w:rPr>
                <w:rFonts w:cstheme="minorHAnsi"/>
                <w:sz w:val="24"/>
                <w:szCs w:val="24"/>
              </w:rPr>
              <w:t>yzwaniach na str. 96 o ogromnym potencjale</w:t>
            </w:r>
            <w:r>
              <w:rPr>
                <w:rFonts w:cstheme="minorHAnsi"/>
                <w:sz w:val="24"/>
                <w:szCs w:val="24"/>
              </w:rPr>
              <w:t>,</w:t>
            </w:r>
            <w:r w:rsidRPr="006F396E">
              <w:rPr>
                <w:rFonts w:cstheme="minorHAnsi"/>
                <w:sz w:val="24"/>
                <w:szCs w:val="24"/>
              </w:rPr>
              <w:t xml:space="preserve"> jaki posiada Polska w tym zakresie i szacowanej budowie 500 instalacji do produkcji </w:t>
            </w:r>
            <w:proofErr w:type="spellStart"/>
            <w:r w:rsidRPr="006F396E">
              <w:rPr>
                <w:rFonts w:cstheme="minorHAnsi"/>
                <w:sz w:val="24"/>
                <w:szCs w:val="24"/>
              </w:rPr>
              <w:t>biometanu</w:t>
            </w:r>
            <w:proofErr w:type="spellEnd"/>
            <w:r w:rsidRPr="006F396E">
              <w:rPr>
                <w:rFonts w:cstheme="minorHAnsi"/>
                <w:sz w:val="24"/>
                <w:szCs w:val="24"/>
              </w:rPr>
              <w:t xml:space="preserve">. W KPO </w:t>
            </w:r>
            <w:r>
              <w:rPr>
                <w:rFonts w:cstheme="minorHAnsi"/>
                <w:sz w:val="24"/>
                <w:szCs w:val="24"/>
              </w:rPr>
              <w:t>mowa</w:t>
            </w:r>
            <w:r w:rsidRPr="006F396E">
              <w:rPr>
                <w:rFonts w:cstheme="minorHAnsi"/>
                <w:sz w:val="24"/>
                <w:szCs w:val="24"/>
              </w:rPr>
              <w:t xml:space="preserve"> o reformach i wprowadzeniu rozwiązań legislacyjnych pozwalających na wytwarzanie, wtłaczan</w:t>
            </w:r>
            <w:r>
              <w:rPr>
                <w:rFonts w:cstheme="minorHAnsi"/>
                <w:sz w:val="24"/>
                <w:szCs w:val="24"/>
              </w:rPr>
              <w:t xml:space="preserve">ie do sieci </w:t>
            </w:r>
            <w:proofErr w:type="spellStart"/>
            <w:r>
              <w:rPr>
                <w:rFonts w:cstheme="minorHAnsi"/>
                <w:sz w:val="24"/>
                <w:szCs w:val="24"/>
              </w:rPr>
              <w:t>biometanu</w:t>
            </w:r>
            <w:proofErr w:type="spellEnd"/>
            <w:r>
              <w:rPr>
                <w:rFonts w:cstheme="minorHAnsi"/>
                <w:sz w:val="24"/>
                <w:szCs w:val="24"/>
              </w:rPr>
              <w:t xml:space="preserve"> (str.109),</w:t>
            </w:r>
            <w:r w:rsidRPr="006F396E">
              <w:rPr>
                <w:rFonts w:cstheme="minorHAnsi"/>
                <w:sz w:val="24"/>
                <w:szCs w:val="24"/>
              </w:rPr>
              <w:t xml:space="preserve"> lecz w inwestycjach (str.110) mowa jest już wyłącznie o wodorze. </w:t>
            </w:r>
          </w:p>
          <w:p w:rsidR="00481606" w:rsidRPr="006F396E" w:rsidRDefault="00481606" w:rsidP="00481606">
            <w:pPr>
              <w:jc w:val="both"/>
              <w:rPr>
                <w:rFonts w:cstheme="minorHAnsi"/>
                <w:sz w:val="24"/>
                <w:szCs w:val="24"/>
              </w:rPr>
            </w:pPr>
          </w:p>
        </w:tc>
      </w:tr>
      <w:tr w:rsidR="00C50A4A" w:rsidRPr="00D40888" w:rsidTr="00C50A4A">
        <w:trPr>
          <w:trHeight w:val="269"/>
        </w:trPr>
        <w:tc>
          <w:tcPr>
            <w:tcW w:w="180" w:type="pct"/>
          </w:tcPr>
          <w:p w:rsidR="00481606" w:rsidRPr="00D40888" w:rsidRDefault="004959B8" w:rsidP="00481606">
            <w:pPr>
              <w:jc w:val="both"/>
              <w:rPr>
                <w:rFonts w:cstheme="minorHAnsi"/>
                <w:sz w:val="24"/>
                <w:szCs w:val="24"/>
              </w:rPr>
            </w:pPr>
            <w:r>
              <w:rPr>
                <w:rFonts w:cstheme="minorHAnsi"/>
                <w:sz w:val="24"/>
                <w:szCs w:val="24"/>
              </w:rPr>
              <w:t>19</w:t>
            </w:r>
          </w:p>
        </w:tc>
        <w:tc>
          <w:tcPr>
            <w:tcW w:w="361" w:type="pct"/>
          </w:tcPr>
          <w:p w:rsidR="00481606" w:rsidRPr="00D40888" w:rsidRDefault="00481606" w:rsidP="00481606">
            <w:pPr>
              <w:jc w:val="both"/>
              <w:rPr>
                <w:rFonts w:cstheme="minorHAnsi"/>
                <w:sz w:val="24"/>
                <w:szCs w:val="24"/>
              </w:rPr>
            </w:pPr>
            <w:r>
              <w:rPr>
                <w:rFonts w:cstheme="minorHAnsi"/>
                <w:sz w:val="24"/>
                <w:szCs w:val="24"/>
              </w:rPr>
              <w:t xml:space="preserve">Str. </w:t>
            </w:r>
            <w:r w:rsidRPr="00D40888">
              <w:rPr>
                <w:rFonts w:cstheme="minorHAnsi"/>
                <w:sz w:val="24"/>
                <w:szCs w:val="24"/>
              </w:rPr>
              <w:t>111</w:t>
            </w:r>
          </w:p>
        </w:tc>
        <w:tc>
          <w:tcPr>
            <w:tcW w:w="2027" w:type="pct"/>
          </w:tcPr>
          <w:p w:rsidR="00481606" w:rsidRPr="005B1EB7" w:rsidRDefault="00481606" w:rsidP="00481606">
            <w:pPr>
              <w:jc w:val="both"/>
              <w:rPr>
                <w:rFonts w:cstheme="minorHAnsi"/>
                <w:sz w:val="24"/>
                <w:szCs w:val="24"/>
              </w:rPr>
            </w:pPr>
            <w:r w:rsidRPr="00D40888">
              <w:rPr>
                <w:rFonts w:cstheme="minorHAnsi"/>
                <w:sz w:val="24"/>
                <w:szCs w:val="24"/>
              </w:rPr>
              <w:t>B2.2. Poprawa warunków dla rozwoju odnawialnych źródeł energii</w:t>
            </w:r>
            <w:r>
              <w:rPr>
                <w:rFonts w:cstheme="minorHAnsi"/>
                <w:sz w:val="24"/>
                <w:szCs w:val="24"/>
              </w:rPr>
              <w:t xml:space="preserve"> – wnioskujemy o doprecyzowanie zapisów, są o</w:t>
            </w:r>
            <w:r w:rsidRPr="005B1EB7">
              <w:rPr>
                <w:rFonts w:cstheme="minorHAnsi"/>
                <w:sz w:val="24"/>
                <w:szCs w:val="24"/>
              </w:rPr>
              <w:t xml:space="preserve">gólne sformułowania, niejasność typów wsparcia oraz potencjalnych wnioskodawców. </w:t>
            </w:r>
          </w:p>
        </w:tc>
        <w:tc>
          <w:tcPr>
            <w:tcW w:w="2432" w:type="pct"/>
          </w:tcPr>
          <w:p w:rsidR="00481606" w:rsidRDefault="00481606" w:rsidP="00481606">
            <w:pPr>
              <w:jc w:val="both"/>
              <w:rPr>
                <w:rFonts w:cstheme="minorHAnsi"/>
                <w:sz w:val="24"/>
                <w:szCs w:val="24"/>
              </w:rPr>
            </w:pPr>
            <w:r w:rsidRPr="00D40888">
              <w:rPr>
                <w:rFonts w:cstheme="minorHAnsi"/>
                <w:sz w:val="24"/>
                <w:szCs w:val="24"/>
              </w:rPr>
              <w:t xml:space="preserve">Temat skupiony </w:t>
            </w:r>
            <w:r>
              <w:rPr>
                <w:rFonts w:cstheme="minorHAnsi"/>
                <w:sz w:val="24"/>
                <w:szCs w:val="24"/>
              </w:rPr>
              <w:t xml:space="preserve">jest </w:t>
            </w:r>
            <w:r w:rsidRPr="00D40888">
              <w:rPr>
                <w:rFonts w:cstheme="minorHAnsi"/>
                <w:sz w:val="24"/>
                <w:szCs w:val="24"/>
              </w:rPr>
              <w:t>wyłącznie na energetyce wiatrowej, morskiej oraz lądowej. Brak informacji o rozwoju pozostałych OZE. Podkreślane jest wsparcie dla energetyki morskiej wiatrowej i wielkoobszarowych OZE, dla małych i średnich miast, jednak inwestycje OZE, które były</w:t>
            </w:r>
            <w:r>
              <w:rPr>
                <w:rFonts w:cstheme="minorHAnsi"/>
                <w:sz w:val="24"/>
                <w:szCs w:val="24"/>
              </w:rPr>
              <w:t>by</w:t>
            </w:r>
            <w:r w:rsidRPr="00D40888">
              <w:rPr>
                <w:rFonts w:cstheme="minorHAnsi"/>
                <w:sz w:val="24"/>
                <w:szCs w:val="24"/>
              </w:rPr>
              <w:t xml:space="preserve"> realizowane przez większe miasta, zostały pominięte. Wielokrotnie w tym</w:t>
            </w:r>
            <w:r>
              <w:rPr>
                <w:rFonts w:cstheme="minorHAnsi"/>
                <w:sz w:val="24"/>
                <w:szCs w:val="24"/>
              </w:rPr>
              <w:t xml:space="preserve"> obszarze  odnosi się wrażanie, ż</w:t>
            </w:r>
            <w:r w:rsidRPr="00D40888">
              <w:rPr>
                <w:rFonts w:cstheme="minorHAnsi"/>
                <w:sz w:val="24"/>
                <w:szCs w:val="24"/>
              </w:rPr>
              <w:t xml:space="preserve">e wsparcie ukierunkowane jest na Spółki Skarbu Państwa. W tej części wskazana jest także planowana nowelizacja ustawy o OZE „rozszerzenie ram prawnych w kierunku tzw. prosumentów grupowych i wirtualnych oraz obywatelskich społeczności energetycznych” bez podania </w:t>
            </w:r>
            <w:r w:rsidRPr="00D40888">
              <w:rPr>
                <w:rFonts w:cstheme="minorHAnsi"/>
                <w:sz w:val="24"/>
                <w:szCs w:val="24"/>
              </w:rPr>
              <w:lastRenderedPageBreak/>
              <w:t>szczegółów. Dalej w tym samym punkcie, jako jeden z celów wskazane jest wdrażanie inteligentnego oprogramowania i systemów zarządzania energią, r</w:t>
            </w:r>
            <w:r>
              <w:rPr>
                <w:rFonts w:cstheme="minorHAnsi"/>
                <w:sz w:val="24"/>
                <w:szCs w:val="24"/>
              </w:rPr>
              <w:t>ównież bez dalszego opracowania, np. w kwestii</w:t>
            </w:r>
            <w:r w:rsidRPr="00D40888">
              <w:rPr>
                <w:rFonts w:cstheme="minorHAnsi"/>
                <w:sz w:val="24"/>
                <w:szCs w:val="24"/>
              </w:rPr>
              <w:t xml:space="preserve"> </w:t>
            </w:r>
            <w:r>
              <w:rPr>
                <w:rFonts w:cstheme="minorHAnsi"/>
                <w:sz w:val="24"/>
                <w:szCs w:val="24"/>
              </w:rPr>
              <w:t>wsparcia</w:t>
            </w:r>
            <w:r w:rsidRPr="00D40888">
              <w:rPr>
                <w:rFonts w:cstheme="minorHAnsi"/>
                <w:sz w:val="24"/>
                <w:szCs w:val="24"/>
              </w:rPr>
              <w:t xml:space="preserve"> na monitoring lub rozbudowę bazy zarządzania energią</w:t>
            </w:r>
            <w:r>
              <w:rPr>
                <w:rFonts w:cstheme="minorHAnsi"/>
                <w:sz w:val="24"/>
                <w:szCs w:val="24"/>
              </w:rPr>
              <w:t>.</w:t>
            </w:r>
          </w:p>
          <w:p w:rsidR="00481606" w:rsidRPr="00D40888" w:rsidRDefault="00481606" w:rsidP="00481606">
            <w:pPr>
              <w:jc w:val="both"/>
              <w:rPr>
                <w:rFonts w:cstheme="minorHAnsi"/>
                <w:sz w:val="24"/>
                <w:szCs w:val="24"/>
              </w:rPr>
            </w:pPr>
          </w:p>
        </w:tc>
      </w:tr>
      <w:tr w:rsidR="00C50A4A" w:rsidRPr="00D40888" w:rsidTr="00C50A4A">
        <w:trPr>
          <w:trHeight w:val="269"/>
        </w:trPr>
        <w:tc>
          <w:tcPr>
            <w:tcW w:w="180" w:type="pct"/>
          </w:tcPr>
          <w:p w:rsidR="00481606" w:rsidRPr="00D40888" w:rsidRDefault="004959B8" w:rsidP="00481606">
            <w:pPr>
              <w:jc w:val="both"/>
              <w:rPr>
                <w:rFonts w:cstheme="minorHAnsi"/>
                <w:sz w:val="24"/>
                <w:szCs w:val="24"/>
              </w:rPr>
            </w:pPr>
            <w:r>
              <w:rPr>
                <w:rFonts w:cstheme="minorHAnsi"/>
                <w:sz w:val="24"/>
                <w:szCs w:val="24"/>
              </w:rPr>
              <w:lastRenderedPageBreak/>
              <w:t>20</w:t>
            </w:r>
          </w:p>
        </w:tc>
        <w:tc>
          <w:tcPr>
            <w:tcW w:w="361" w:type="pct"/>
          </w:tcPr>
          <w:p w:rsidR="00481606" w:rsidRPr="00D40888" w:rsidRDefault="00481606" w:rsidP="00481606">
            <w:pPr>
              <w:jc w:val="both"/>
              <w:rPr>
                <w:rFonts w:cstheme="minorHAnsi"/>
                <w:sz w:val="24"/>
                <w:szCs w:val="24"/>
              </w:rPr>
            </w:pPr>
            <w:r>
              <w:rPr>
                <w:rFonts w:cstheme="minorHAnsi"/>
                <w:sz w:val="24"/>
                <w:szCs w:val="24"/>
              </w:rPr>
              <w:t xml:space="preserve">Str. </w:t>
            </w:r>
            <w:r w:rsidRPr="00D40888">
              <w:rPr>
                <w:rFonts w:cstheme="minorHAnsi"/>
                <w:sz w:val="24"/>
                <w:szCs w:val="24"/>
              </w:rPr>
              <w:t>113</w:t>
            </w:r>
          </w:p>
        </w:tc>
        <w:tc>
          <w:tcPr>
            <w:tcW w:w="2027" w:type="pct"/>
          </w:tcPr>
          <w:p w:rsidR="00481606" w:rsidRPr="00D40888" w:rsidRDefault="00481606" w:rsidP="00481606">
            <w:pPr>
              <w:jc w:val="both"/>
              <w:rPr>
                <w:rFonts w:cstheme="minorHAnsi"/>
                <w:sz w:val="24"/>
                <w:szCs w:val="24"/>
                <w:u w:val="single"/>
              </w:rPr>
            </w:pPr>
            <w:r w:rsidRPr="00D40888">
              <w:rPr>
                <w:rFonts w:cstheme="minorHAnsi"/>
                <w:sz w:val="24"/>
                <w:szCs w:val="24"/>
              </w:rPr>
              <w:t xml:space="preserve">B2.2.3. Instalacje OZE realizowane </w:t>
            </w:r>
            <w:r>
              <w:rPr>
                <w:rFonts w:cstheme="minorHAnsi"/>
                <w:sz w:val="24"/>
                <w:szCs w:val="24"/>
              </w:rPr>
              <w:t>przez społeczności energetyczne – wnioskujemy o doprecyzowanie zapisów, są o</w:t>
            </w:r>
            <w:r w:rsidRPr="005B1EB7">
              <w:rPr>
                <w:rFonts w:cstheme="minorHAnsi"/>
                <w:sz w:val="24"/>
                <w:szCs w:val="24"/>
              </w:rPr>
              <w:t>gólne sformułowania, niejasność typów wsparcia</w:t>
            </w:r>
            <w:r>
              <w:rPr>
                <w:rFonts w:cstheme="minorHAnsi"/>
                <w:sz w:val="24"/>
                <w:szCs w:val="24"/>
              </w:rPr>
              <w:t>.</w:t>
            </w:r>
          </w:p>
        </w:tc>
        <w:tc>
          <w:tcPr>
            <w:tcW w:w="2432" w:type="pct"/>
          </w:tcPr>
          <w:p w:rsidR="00481606" w:rsidRPr="00D40888" w:rsidRDefault="00481606" w:rsidP="00481606">
            <w:pPr>
              <w:jc w:val="both"/>
              <w:rPr>
                <w:rFonts w:cstheme="minorHAnsi"/>
                <w:sz w:val="24"/>
                <w:szCs w:val="24"/>
              </w:rPr>
            </w:pPr>
            <w:r w:rsidRPr="00D40888">
              <w:rPr>
                <w:rFonts w:cstheme="minorHAnsi"/>
                <w:sz w:val="24"/>
                <w:szCs w:val="24"/>
              </w:rPr>
              <w:t xml:space="preserve">Sformułowania: „Rozwój lokalnych odnawialnych źródeł energii realizowanych przez społeczności energetyczne </w:t>
            </w:r>
          </w:p>
          <w:p w:rsidR="00481606" w:rsidRPr="00D40888" w:rsidRDefault="00481606" w:rsidP="00481606">
            <w:pPr>
              <w:jc w:val="both"/>
              <w:rPr>
                <w:rFonts w:cstheme="minorHAnsi"/>
                <w:sz w:val="24"/>
                <w:szCs w:val="24"/>
              </w:rPr>
            </w:pPr>
            <w:r w:rsidRPr="00D40888">
              <w:rPr>
                <w:rFonts w:cstheme="minorHAnsi"/>
                <w:sz w:val="24"/>
                <w:szCs w:val="24"/>
              </w:rPr>
              <w:t xml:space="preserve">(w tym m.in. klastry energii, spółdzielnie energetyczne, zbiorowe porozumienia prosumentów) ze szczególnym uwzględnieniem roli samorządów” oraz „źródła OZE realizowane w ramach dojrzałych inicjatyw realizujących formułę w lokalnych społecznościach energetycznych” </w:t>
            </w:r>
          </w:p>
          <w:p w:rsidR="00481606" w:rsidRDefault="00481606" w:rsidP="00481606">
            <w:pPr>
              <w:jc w:val="both"/>
              <w:rPr>
                <w:rFonts w:cstheme="minorHAnsi"/>
                <w:sz w:val="24"/>
                <w:szCs w:val="24"/>
              </w:rPr>
            </w:pPr>
            <w:r w:rsidRPr="00D40888">
              <w:rPr>
                <w:rFonts w:cstheme="minorHAnsi"/>
                <w:sz w:val="24"/>
                <w:szCs w:val="24"/>
              </w:rPr>
              <w:t>nie ma dalszego wyjaśnienia. Bra</w:t>
            </w:r>
            <w:r>
              <w:rPr>
                <w:rFonts w:cstheme="minorHAnsi"/>
                <w:sz w:val="24"/>
                <w:szCs w:val="24"/>
              </w:rPr>
              <w:t>k sprecyzowania celu, zakresu zadań.</w:t>
            </w:r>
          </w:p>
          <w:p w:rsidR="00481606" w:rsidRPr="00D40888" w:rsidRDefault="00481606" w:rsidP="00481606">
            <w:pPr>
              <w:jc w:val="both"/>
              <w:rPr>
                <w:rFonts w:cstheme="minorHAnsi"/>
                <w:sz w:val="24"/>
                <w:szCs w:val="24"/>
              </w:rPr>
            </w:pPr>
          </w:p>
        </w:tc>
      </w:tr>
      <w:tr w:rsidR="00C50A4A" w:rsidRPr="00D40888" w:rsidTr="00C50A4A">
        <w:trPr>
          <w:trHeight w:val="269"/>
        </w:trPr>
        <w:tc>
          <w:tcPr>
            <w:tcW w:w="180" w:type="pct"/>
          </w:tcPr>
          <w:p w:rsidR="00481606" w:rsidRPr="00D40888" w:rsidRDefault="004959B8" w:rsidP="00481606">
            <w:pPr>
              <w:jc w:val="both"/>
              <w:rPr>
                <w:rFonts w:cstheme="minorHAnsi"/>
                <w:sz w:val="24"/>
                <w:szCs w:val="24"/>
              </w:rPr>
            </w:pPr>
            <w:r>
              <w:rPr>
                <w:rFonts w:cstheme="minorHAnsi"/>
                <w:sz w:val="24"/>
                <w:szCs w:val="24"/>
              </w:rPr>
              <w:t>21</w:t>
            </w:r>
          </w:p>
        </w:tc>
        <w:tc>
          <w:tcPr>
            <w:tcW w:w="361" w:type="pct"/>
          </w:tcPr>
          <w:p w:rsidR="00481606" w:rsidRPr="00D40888" w:rsidRDefault="00481606" w:rsidP="00481606">
            <w:pPr>
              <w:jc w:val="both"/>
              <w:rPr>
                <w:rFonts w:cstheme="minorHAnsi"/>
                <w:sz w:val="24"/>
                <w:szCs w:val="24"/>
              </w:rPr>
            </w:pPr>
            <w:r>
              <w:rPr>
                <w:rFonts w:cstheme="minorHAnsi"/>
                <w:sz w:val="24"/>
                <w:szCs w:val="24"/>
              </w:rPr>
              <w:t xml:space="preserve">Str. </w:t>
            </w:r>
            <w:r w:rsidRPr="00D40888">
              <w:rPr>
                <w:rFonts w:cstheme="minorHAnsi"/>
                <w:sz w:val="24"/>
                <w:szCs w:val="24"/>
              </w:rPr>
              <w:t>115</w:t>
            </w:r>
          </w:p>
        </w:tc>
        <w:tc>
          <w:tcPr>
            <w:tcW w:w="2027" w:type="pct"/>
          </w:tcPr>
          <w:p w:rsidR="00481606" w:rsidRPr="00D40888" w:rsidRDefault="00481606" w:rsidP="00481606">
            <w:pPr>
              <w:pStyle w:val="Default"/>
              <w:jc w:val="both"/>
              <w:rPr>
                <w:rFonts w:asciiTheme="minorHAnsi" w:hAnsiTheme="minorHAnsi" w:cstheme="minorHAnsi"/>
              </w:rPr>
            </w:pPr>
            <w:r w:rsidRPr="00D40888">
              <w:rPr>
                <w:rFonts w:asciiTheme="minorHAnsi" w:hAnsiTheme="minorHAnsi" w:cstheme="minorHAnsi"/>
              </w:rPr>
              <w:t>B3. Adaptacja do zmian klimatu oraz ogra</w:t>
            </w:r>
            <w:r>
              <w:rPr>
                <w:rFonts w:asciiTheme="minorHAnsi" w:hAnsiTheme="minorHAnsi" w:cstheme="minorHAnsi"/>
              </w:rPr>
              <w:t xml:space="preserve">niczenie degradacji środowiska - </w:t>
            </w:r>
            <w:r>
              <w:rPr>
                <w:rFonts w:cstheme="minorHAnsi"/>
              </w:rPr>
              <w:t>wnioskujemy o doprecyzowanie zapisów dot. przedmiotu wsparcia.</w:t>
            </w:r>
          </w:p>
          <w:p w:rsidR="00481606" w:rsidRPr="00D40888" w:rsidRDefault="00481606" w:rsidP="00481606">
            <w:pPr>
              <w:pStyle w:val="Default"/>
              <w:jc w:val="both"/>
              <w:rPr>
                <w:rFonts w:cstheme="minorHAnsi"/>
              </w:rPr>
            </w:pPr>
          </w:p>
        </w:tc>
        <w:tc>
          <w:tcPr>
            <w:tcW w:w="2432" w:type="pct"/>
          </w:tcPr>
          <w:p w:rsidR="00481606" w:rsidRDefault="00481606" w:rsidP="00481606">
            <w:pPr>
              <w:jc w:val="both"/>
              <w:rPr>
                <w:rFonts w:cstheme="minorHAnsi"/>
                <w:sz w:val="24"/>
                <w:szCs w:val="24"/>
              </w:rPr>
            </w:pPr>
            <w:r w:rsidRPr="00D40888">
              <w:rPr>
                <w:rFonts w:cstheme="minorHAnsi"/>
                <w:sz w:val="24"/>
                <w:szCs w:val="24"/>
              </w:rPr>
              <w:t>W tym punkcie znajduje się informacja o środkach finansowych na opracowanie kom</w:t>
            </w:r>
            <w:r>
              <w:rPr>
                <w:rFonts w:cstheme="minorHAnsi"/>
                <w:sz w:val="24"/>
                <w:szCs w:val="24"/>
              </w:rPr>
              <w:t xml:space="preserve">pleksowych systemów zarządzania, </w:t>
            </w:r>
            <w:r w:rsidRPr="00D40888">
              <w:rPr>
                <w:rFonts w:cstheme="minorHAnsi"/>
                <w:sz w:val="24"/>
                <w:szCs w:val="24"/>
              </w:rPr>
              <w:t>bez doprecyzowania szczegółów.</w:t>
            </w:r>
          </w:p>
          <w:p w:rsidR="00481606" w:rsidRPr="00D40888" w:rsidRDefault="00481606" w:rsidP="00481606">
            <w:pPr>
              <w:jc w:val="both"/>
              <w:rPr>
                <w:rFonts w:cstheme="minorHAnsi"/>
                <w:sz w:val="24"/>
                <w:szCs w:val="24"/>
              </w:rPr>
            </w:pPr>
          </w:p>
        </w:tc>
      </w:tr>
      <w:tr w:rsidR="00C50A4A" w:rsidRPr="00D40888" w:rsidTr="00C50A4A">
        <w:trPr>
          <w:trHeight w:val="269"/>
        </w:trPr>
        <w:tc>
          <w:tcPr>
            <w:tcW w:w="180" w:type="pct"/>
          </w:tcPr>
          <w:p w:rsidR="00481606" w:rsidRPr="00D40888" w:rsidRDefault="004959B8" w:rsidP="00481606">
            <w:pPr>
              <w:jc w:val="both"/>
              <w:rPr>
                <w:rFonts w:cstheme="minorHAnsi"/>
                <w:sz w:val="24"/>
                <w:szCs w:val="24"/>
              </w:rPr>
            </w:pPr>
            <w:r>
              <w:rPr>
                <w:rFonts w:cstheme="minorHAnsi"/>
                <w:sz w:val="24"/>
                <w:szCs w:val="24"/>
              </w:rPr>
              <w:t>22</w:t>
            </w:r>
          </w:p>
        </w:tc>
        <w:tc>
          <w:tcPr>
            <w:tcW w:w="361" w:type="pct"/>
          </w:tcPr>
          <w:p w:rsidR="00481606" w:rsidRPr="00D40888" w:rsidRDefault="00481606" w:rsidP="00481606">
            <w:pPr>
              <w:jc w:val="both"/>
              <w:rPr>
                <w:rFonts w:cstheme="minorHAnsi"/>
                <w:sz w:val="24"/>
                <w:szCs w:val="24"/>
              </w:rPr>
            </w:pPr>
            <w:r>
              <w:rPr>
                <w:rFonts w:cstheme="minorHAnsi"/>
                <w:sz w:val="24"/>
                <w:szCs w:val="24"/>
              </w:rPr>
              <w:t xml:space="preserve">Str. </w:t>
            </w:r>
            <w:r w:rsidRPr="00D40888">
              <w:rPr>
                <w:rFonts w:cstheme="minorHAnsi"/>
                <w:sz w:val="24"/>
                <w:szCs w:val="24"/>
              </w:rPr>
              <w:t>212</w:t>
            </w:r>
          </w:p>
        </w:tc>
        <w:tc>
          <w:tcPr>
            <w:tcW w:w="2027" w:type="pct"/>
          </w:tcPr>
          <w:p w:rsidR="00481606" w:rsidRPr="00D40888" w:rsidRDefault="00481606" w:rsidP="00481606">
            <w:pPr>
              <w:pStyle w:val="Default"/>
              <w:jc w:val="both"/>
              <w:rPr>
                <w:rFonts w:asciiTheme="minorHAnsi" w:hAnsiTheme="minorHAnsi" w:cstheme="minorHAnsi"/>
              </w:rPr>
            </w:pPr>
            <w:r w:rsidRPr="00D40888">
              <w:rPr>
                <w:rFonts w:asciiTheme="minorHAnsi" w:hAnsiTheme="minorHAnsi" w:cstheme="minorHAnsi"/>
              </w:rPr>
              <w:t>E2.2.1. Bezpieczeństwo transportu</w:t>
            </w:r>
            <w:r>
              <w:rPr>
                <w:rFonts w:asciiTheme="minorHAnsi" w:hAnsiTheme="minorHAnsi" w:cstheme="minorHAnsi"/>
              </w:rPr>
              <w:t xml:space="preserve"> – wątpliwe finansowanie działania:</w:t>
            </w:r>
          </w:p>
          <w:p w:rsidR="00481606" w:rsidRDefault="00481606" w:rsidP="00481606">
            <w:pPr>
              <w:pStyle w:val="Default"/>
              <w:jc w:val="both"/>
              <w:rPr>
                <w:rFonts w:asciiTheme="minorHAnsi" w:hAnsiTheme="minorHAnsi" w:cstheme="minorHAnsi"/>
              </w:rPr>
            </w:pPr>
            <w:r w:rsidRPr="00D40888">
              <w:rPr>
                <w:rFonts w:asciiTheme="minorHAnsi" w:hAnsiTheme="minorHAnsi" w:cstheme="minorHAnsi"/>
              </w:rPr>
              <w:t>„Działaniem komplementarnym, zapewniającym ciągłość i dynamikę procesów inwestycyjnych będzie utworzenie sieci magazynów konserwatorskich (6 magazynów) do celów przechowywania, zabezpieczenia i dokumentowania zasobów archeologicznych”.</w:t>
            </w:r>
          </w:p>
          <w:p w:rsidR="00481606" w:rsidRPr="00D40888" w:rsidRDefault="00481606" w:rsidP="00481606">
            <w:pPr>
              <w:pStyle w:val="Default"/>
              <w:jc w:val="both"/>
              <w:rPr>
                <w:rFonts w:asciiTheme="minorHAnsi" w:hAnsiTheme="minorHAnsi" w:cstheme="minorHAnsi"/>
              </w:rPr>
            </w:pPr>
          </w:p>
        </w:tc>
        <w:tc>
          <w:tcPr>
            <w:tcW w:w="2432" w:type="pct"/>
          </w:tcPr>
          <w:p w:rsidR="00481606" w:rsidRPr="00D40888" w:rsidRDefault="00481606" w:rsidP="00481606">
            <w:pPr>
              <w:jc w:val="both"/>
              <w:rPr>
                <w:rFonts w:cstheme="minorHAnsi"/>
                <w:sz w:val="24"/>
                <w:szCs w:val="24"/>
              </w:rPr>
            </w:pPr>
            <w:r>
              <w:rPr>
                <w:rFonts w:cstheme="minorHAnsi"/>
                <w:sz w:val="24"/>
                <w:szCs w:val="24"/>
              </w:rPr>
              <w:t xml:space="preserve">Nie widzimy związku </w:t>
            </w:r>
            <w:r w:rsidRPr="00D40888">
              <w:rPr>
                <w:rFonts w:cstheme="minorHAnsi"/>
                <w:sz w:val="24"/>
                <w:szCs w:val="24"/>
              </w:rPr>
              <w:t xml:space="preserve">utworzenia 6 magazynów przeznaczonych do przechowywania ruchomych zabytków architektonicznych z celem inwestycji E2.2.1. Bezpieczeństwo transportu.  </w:t>
            </w:r>
          </w:p>
        </w:tc>
      </w:tr>
    </w:tbl>
    <w:p w:rsidR="00395315" w:rsidRPr="00D40888" w:rsidRDefault="00395315" w:rsidP="00D40888">
      <w:pPr>
        <w:jc w:val="both"/>
        <w:rPr>
          <w:rFonts w:cstheme="minorHAnsi"/>
          <w:sz w:val="24"/>
          <w:szCs w:val="24"/>
        </w:rPr>
      </w:pPr>
    </w:p>
    <w:sectPr w:rsidR="00395315" w:rsidRPr="00D40888" w:rsidSect="004153F4">
      <w:footerReference w:type="default" r:id="rId7"/>
      <w:pgSz w:w="16838" w:h="11906" w:orient="landscape"/>
      <w:pgMar w:top="142"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F30" w:rsidRDefault="001D3F30" w:rsidP="001E7983">
      <w:pPr>
        <w:spacing w:after="0" w:line="240" w:lineRule="auto"/>
      </w:pPr>
      <w:r>
        <w:separator/>
      </w:r>
    </w:p>
  </w:endnote>
  <w:endnote w:type="continuationSeparator" w:id="0">
    <w:p w:rsidR="001D3F30" w:rsidRDefault="001D3F30" w:rsidP="001E7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24954"/>
      <w:docPartObj>
        <w:docPartGallery w:val="Page Numbers (Bottom of Page)"/>
        <w:docPartUnique/>
      </w:docPartObj>
    </w:sdtPr>
    <w:sdtContent>
      <w:p w:rsidR="00C32983" w:rsidRDefault="00183BCE">
        <w:pPr>
          <w:pStyle w:val="Stopka"/>
          <w:jc w:val="right"/>
        </w:pPr>
        <w:r>
          <w:rPr>
            <w:noProof/>
          </w:rPr>
          <w:fldChar w:fldCharType="begin"/>
        </w:r>
        <w:r w:rsidR="00B81755">
          <w:rPr>
            <w:noProof/>
          </w:rPr>
          <w:instrText xml:space="preserve"> PAGE   \* MERGEFORMAT </w:instrText>
        </w:r>
        <w:r>
          <w:rPr>
            <w:noProof/>
          </w:rPr>
          <w:fldChar w:fldCharType="separate"/>
        </w:r>
        <w:r w:rsidR="00487608">
          <w:rPr>
            <w:noProof/>
          </w:rPr>
          <w:t>3</w:t>
        </w:r>
        <w:r>
          <w:rPr>
            <w:noProof/>
          </w:rPr>
          <w:fldChar w:fldCharType="end"/>
        </w:r>
      </w:p>
    </w:sdtContent>
  </w:sdt>
  <w:p w:rsidR="00C32983" w:rsidRDefault="00C3298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F30" w:rsidRDefault="001D3F30" w:rsidP="001E7983">
      <w:pPr>
        <w:spacing w:after="0" w:line="240" w:lineRule="auto"/>
      </w:pPr>
      <w:r>
        <w:separator/>
      </w:r>
    </w:p>
  </w:footnote>
  <w:footnote w:type="continuationSeparator" w:id="0">
    <w:p w:rsidR="001D3F30" w:rsidRDefault="001D3F30" w:rsidP="001E79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7F5"/>
    <w:multiLevelType w:val="hybridMultilevel"/>
    <w:tmpl w:val="15CC78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40164EB2"/>
    <w:multiLevelType w:val="hybridMultilevel"/>
    <w:tmpl w:val="7DE8B314"/>
    <w:lvl w:ilvl="0" w:tplc="521A2B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95315"/>
    <w:rsid w:val="0000249C"/>
    <w:rsid w:val="00024DE8"/>
    <w:rsid w:val="000414BF"/>
    <w:rsid w:val="00052EF5"/>
    <w:rsid w:val="00060B48"/>
    <w:rsid w:val="00083A36"/>
    <w:rsid w:val="00092136"/>
    <w:rsid w:val="000C581D"/>
    <w:rsid w:val="000E41C5"/>
    <w:rsid w:val="000E4B61"/>
    <w:rsid w:val="000E64A9"/>
    <w:rsid w:val="00183BCE"/>
    <w:rsid w:val="001D3F30"/>
    <w:rsid w:val="001E7983"/>
    <w:rsid w:val="001F3995"/>
    <w:rsid w:val="002052A3"/>
    <w:rsid w:val="0022749D"/>
    <w:rsid w:val="00254231"/>
    <w:rsid w:val="00262709"/>
    <w:rsid w:val="00272363"/>
    <w:rsid w:val="00276A12"/>
    <w:rsid w:val="00283F1F"/>
    <w:rsid w:val="002926F4"/>
    <w:rsid w:val="002F5EB8"/>
    <w:rsid w:val="00330DBB"/>
    <w:rsid w:val="00360194"/>
    <w:rsid w:val="00377491"/>
    <w:rsid w:val="00395315"/>
    <w:rsid w:val="003962B4"/>
    <w:rsid w:val="004028EF"/>
    <w:rsid w:val="004078EA"/>
    <w:rsid w:val="004153F4"/>
    <w:rsid w:val="00415A5B"/>
    <w:rsid w:val="004231AC"/>
    <w:rsid w:val="00446BE4"/>
    <w:rsid w:val="00451F12"/>
    <w:rsid w:val="00455806"/>
    <w:rsid w:val="00467123"/>
    <w:rsid w:val="0047393D"/>
    <w:rsid w:val="00481606"/>
    <w:rsid w:val="00482844"/>
    <w:rsid w:val="00487608"/>
    <w:rsid w:val="004959B8"/>
    <w:rsid w:val="004979F3"/>
    <w:rsid w:val="004A6392"/>
    <w:rsid w:val="004A6DDE"/>
    <w:rsid w:val="004B21F3"/>
    <w:rsid w:val="004B591B"/>
    <w:rsid w:val="004C7E46"/>
    <w:rsid w:val="004D075A"/>
    <w:rsid w:val="004D1297"/>
    <w:rsid w:val="004F5D89"/>
    <w:rsid w:val="004F6D61"/>
    <w:rsid w:val="005B1EB7"/>
    <w:rsid w:val="00617A46"/>
    <w:rsid w:val="00686BCB"/>
    <w:rsid w:val="006919C3"/>
    <w:rsid w:val="006B15B7"/>
    <w:rsid w:val="006B4AD4"/>
    <w:rsid w:val="006B6F6E"/>
    <w:rsid w:val="006D77A7"/>
    <w:rsid w:val="006F0E9E"/>
    <w:rsid w:val="006F396E"/>
    <w:rsid w:val="006F4F21"/>
    <w:rsid w:val="0071349A"/>
    <w:rsid w:val="0072474D"/>
    <w:rsid w:val="007258C3"/>
    <w:rsid w:val="007409B9"/>
    <w:rsid w:val="00742B89"/>
    <w:rsid w:val="00750271"/>
    <w:rsid w:val="007613A4"/>
    <w:rsid w:val="00764FA6"/>
    <w:rsid w:val="00765D29"/>
    <w:rsid w:val="00784374"/>
    <w:rsid w:val="007947C6"/>
    <w:rsid w:val="007A7D09"/>
    <w:rsid w:val="007B14B8"/>
    <w:rsid w:val="007F62AD"/>
    <w:rsid w:val="00830BFA"/>
    <w:rsid w:val="008434DE"/>
    <w:rsid w:val="00843DEE"/>
    <w:rsid w:val="0084768F"/>
    <w:rsid w:val="008504B9"/>
    <w:rsid w:val="008553B6"/>
    <w:rsid w:val="00876C56"/>
    <w:rsid w:val="00882463"/>
    <w:rsid w:val="008B5750"/>
    <w:rsid w:val="008E4421"/>
    <w:rsid w:val="008F55A7"/>
    <w:rsid w:val="008F689B"/>
    <w:rsid w:val="008F7D84"/>
    <w:rsid w:val="0090393A"/>
    <w:rsid w:val="00934450"/>
    <w:rsid w:val="009422EF"/>
    <w:rsid w:val="00944DAE"/>
    <w:rsid w:val="0098465D"/>
    <w:rsid w:val="009C23FB"/>
    <w:rsid w:val="009C7D5A"/>
    <w:rsid w:val="009D780B"/>
    <w:rsid w:val="009F68B8"/>
    <w:rsid w:val="00A0023A"/>
    <w:rsid w:val="00A06340"/>
    <w:rsid w:val="00A22550"/>
    <w:rsid w:val="00A63EB6"/>
    <w:rsid w:val="00A75014"/>
    <w:rsid w:val="00A80F20"/>
    <w:rsid w:val="00A84123"/>
    <w:rsid w:val="00A84FE1"/>
    <w:rsid w:val="00AA57F8"/>
    <w:rsid w:val="00AA6C17"/>
    <w:rsid w:val="00AB198D"/>
    <w:rsid w:val="00AB6850"/>
    <w:rsid w:val="00AD2F53"/>
    <w:rsid w:val="00AF41A3"/>
    <w:rsid w:val="00B17467"/>
    <w:rsid w:val="00B43B3E"/>
    <w:rsid w:val="00B75BB0"/>
    <w:rsid w:val="00B81755"/>
    <w:rsid w:val="00B93D0B"/>
    <w:rsid w:val="00BA4A6F"/>
    <w:rsid w:val="00BB551E"/>
    <w:rsid w:val="00C0761F"/>
    <w:rsid w:val="00C27A1E"/>
    <w:rsid w:val="00C32983"/>
    <w:rsid w:val="00C4212D"/>
    <w:rsid w:val="00C50A4A"/>
    <w:rsid w:val="00C73ABA"/>
    <w:rsid w:val="00C97DB3"/>
    <w:rsid w:val="00CF0880"/>
    <w:rsid w:val="00D02181"/>
    <w:rsid w:val="00D2347C"/>
    <w:rsid w:val="00D40888"/>
    <w:rsid w:val="00D409A1"/>
    <w:rsid w:val="00DA06FC"/>
    <w:rsid w:val="00DA4D9E"/>
    <w:rsid w:val="00DA6E24"/>
    <w:rsid w:val="00DB38CD"/>
    <w:rsid w:val="00DD0097"/>
    <w:rsid w:val="00DE3C6E"/>
    <w:rsid w:val="00E139B6"/>
    <w:rsid w:val="00E27516"/>
    <w:rsid w:val="00E9092E"/>
    <w:rsid w:val="00EA4759"/>
    <w:rsid w:val="00EA633A"/>
    <w:rsid w:val="00ED36FB"/>
    <w:rsid w:val="00ED4713"/>
    <w:rsid w:val="00F3512E"/>
    <w:rsid w:val="00F45214"/>
    <w:rsid w:val="00F7536C"/>
    <w:rsid w:val="00F870CC"/>
    <w:rsid w:val="00FA70F0"/>
    <w:rsid w:val="00FD692F"/>
    <w:rsid w:val="00FF4E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15B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95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395315"/>
    <w:pPr>
      <w:spacing w:after="0" w:line="240" w:lineRule="auto"/>
    </w:pPr>
  </w:style>
  <w:style w:type="paragraph" w:styleId="Akapitzlist">
    <w:name w:val="List Paragraph"/>
    <w:basedOn w:val="Normalny"/>
    <w:uiPriority w:val="34"/>
    <w:qFormat/>
    <w:rsid w:val="002052A3"/>
    <w:pPr>
      <w:ind w:left="720"/>
      <w:contextualSpacing/>
    </w:pPr>
  </w:style>
  <w:style w:type="paragraph" w:customStyle="1" w:styleId="Default">
    <w:name w:val="Default"/>
    <w:rsid w:val="00446BE4"/>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semiHidden/>
    <w:unhideWhenUsed/>
    <w:rsid w:val="001E798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E7983"/>
  </w:style>
  <w:style w:type="paragraph" w:styleId="Stopka">
    <w:name w:val="footer"/>
    <w:basedOn w:val="Normalny"/>
    <w:link w:val="StopkaZnak"/>
    <w:uiPriority w:val="99"/>
    <w:unhideWhenUsed/>
    <w:rsid w:val="001E79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983"/>
  </w:style>
  <w:style w:type="paragraph" w:styleId="Tekstdymka">
    <w:name w:val="Balloon Text"/>
    <w:basedOn w:val="Normalny"/>
    <w:link w:val="TekstdymkaZnak"/>
    <w:uiPriority w:val="99"/>
    <w:semiHidden/>
    <w:unhideWhenUsed/>
    <w:rsid w:val="00A841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412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962</TotalTime>
  <Pages>8</Pages>
  <Words>2850</Words>
  <Characters>17106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UMB</Company>
  <LinksUpToDate>false</LinksUpToDate>
  <CharactersWithSpaces>19917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korpalj</dc:creator>
  <cp:keywords/>
  <dc:description/>
  <cp:lastModifiedBy>Użytkownik systemu Windows</cp:lastModifiedBy>
  <cp:revision>90</cp:revision>
  <cp:lastPrinted>2021-03-26T11:53:00Z</cp:lastPrinted>
  <dcterms:created xsi:type="dcterms:W3CDTF">2021-03-16T12:36:00Z</dcterms:created>
  <dcterms:modified xsi:type="dcterms:W3CDTF">2021-03-31T10:26:00Z</dcterms:modified>
</cp:coreProperties>
</file>